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A02F6">
        <w:trPr>
          <w:trHeight w:val="71"/>
        </w:trPr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065" cy="793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2F6">
        <w:trPr>
          <w:trHeight w:val="322"/>
        </w:trPr>
        <w:tc>
          <w:tcPr>
            <w:tcW w:w="9781" w:type="dxa"/>
            <w:shd w:val="clear" w:color="auto" w:fill="auto"/>
          </w:tcPr>
          <w:p w:rsidR="00AA02F6" w:rsidRDefault="00AA02F6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AA02F6">
        <w:trPr>
          <w:trHeight w:val="71"/>
        </w:trPr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Тульская область</w:t>
            </w:r>
          </w:p>
        </w:tc>
      </w:tr>
      <w:tr w:rsidR="00AA02F6"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Муниципальное образование Заокский район</w:t>
            </w:r>
          </w:p>
        </w:tc>
      </w:tr>
      <w:tr w:rsidR="00AA02F6"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Собрание представителей</w:t>
            </w:r>
          </w:p>
          <w:p w:rsidR="00AA02F6" w:rsidRDefault="00AA02F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HK"/>
              </w:rPr>
            </w:pPr>
          </w:p>
          <w:p w:rsidR="00AA02F6" w:rsidRDefault="00AA02F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AA02F6"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Решение</w:t>
            </w:r>
          </w:p>
        </w:tc>
      </w:tr>
      <w:tr w:rsidR="00AA02F6">
        <w:trPr>
          <w:trHeight w:val="328"/>
        </w:trPr>
        <w:tc>
          <w:tcPr>
            <w:tcW w:w="9781" w:type="dxa"/>
            <w:shd w:val="clear" w:color="auto" w:fill="auto"/>
          </w:tcPr>
          <w:p w:rsidR="00AA02F6" w:rsidRDefault="00AA02F6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</w:p>
        </w:tc>
      </w:tr>
    </w:tbl>
    <w:p w:rsidR="00AA02F6" w:rsidRDefault="00AA02F6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</w:p>
    <w:p w:rsidR="00251094" w:rsidRPr="00251094" w:rsidRDefault="00251094" w:rsidP="00251094">
      <w:pPr>
        <w:spacing w:after="0" w:line="240" w:lineRule="auto"/>
        <w:ind w:firstLine="709"/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</w:pPr>
      <w:r w:rsidRPr="00251094"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  <w:t xml:space="preserve">от 21 августа 2024 года                                        </w:t>
      </w:r>
      <w:r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  <w:t xml:space="preserve">          </w:t>
      </w:r>
      <w:r w:rsidRPr="00251094"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  <w:t xml:space="preserve">                        № 16/1</w:t>
      </w:r>
    </w:p>
    <w:p w:rsidR="00251094" w:rsidRDefault="0025109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</w:p>
    <w:p w:rsidR="00251094" w:rsidRDefault="0025109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</w:p>
    <w:p w:rsidR="00AA02F6" w:rsidRPr="00251094" w:rsidRDefault="0025109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  <w:bookmarkStart w:id="0" w:name="_GoBack"/>
      <w:bookmarkEnd w:id="0"/>
      <w:r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«</w:t>
      </w:r>
      <w:r w:rsidR="00464293" w:rsidRPr="00251094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О назначении публичных слушаний </w:t>
      </w:r>
    </w:p>
    <w:p w:rsidR="00AA02F6" w:rsidRPr="00251094" w:rsidRDefault="0046429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  <w:r w:rsidRPr="00251094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по обсуждению проекта «Внесение изменений в правила землепользования и застройки муниципального образования </w:t>
      </w:r>
      <w:proofErr w:type="spellStart"/>
      <w:r w:rsidR="0066585D" w:rsidRPr="00251094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Малаховское</w:t>
      </w:r>
      <w:proofErr w:type="spellEnd"/>
      <w:r w:rsidR="003A761E" w:rsidRPr="00251094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 </w:t>
      </w:r>
      <w:r w:rsidRPr="00251094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Заокского района»</w:t>
      </w:r>
    </w:p>
    <w:p w:rsidR="00AA02F6" w:rsidRDefault="00AA02F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zh-CN"/>
        </w:rPr>
      </w:pPr>
    </w:p>
    <w:p w:rsidR="00AA02F6" w:rsidRDefault="0046429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0"/>
          <w:lang w:eastAsia="zh-CN"/>
        </w:rPr>
      </w:pP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В соответствии с Градостроительным кодексом 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zh-CN"/>
        </w:rPr>
        <w:t xml:space="preserve"> 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Федеральным законом от 14.03.2022 № 58-ФЗ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обращения главы администрации муниципального образования Заокский район, Собрание представителей муниципального образования Заокский район РЕШИЛО:</w:t>
      </w:r>
    </w:p>
    <w:p w:rsidR="00AA02F6" w:rsidRDefault="0046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zh-CN"/>
        </w:rPr>
      </w:pP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1. Назначить публичные слушания по обсуждению проекта «Внесение изменений в правила землепользования и застройки муниципального образования </w:t>
      </w:r>
      <w:proofErr w:type="spellStart"/>
      <w:r w:rsidR="0066585D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Малаховское</w:t>
      </w:r>
      <w:proofErr w:type="spellEnd"/>
      <w:r w:rsidR="003A761E" w:rsidRPr="003A761E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Заокского района»</w:t>
      </w:r>
      <w:r w:rsidR="0066585D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 (далее – Проект)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.</w:t>
      </w:r>
    </w:p>
    <w:p w:rsidR="00AA02F6" w:rsidRDefault="006656BD" w:rsidP="006656B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2. Провести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вышеуказанные публичные слушания </w:t>
      </w:r>
      <w:r w:rsid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12</w:t>
      </w:r>
      <w:r w:rsidR="003A761E" w:rsidRP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.0</w:t>
      </w:r>
      <w:r w:rsid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9</w:t>
      </w:r>
      <w:r w:rsidR="003A761E" w:rsidRP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.202</w:t>
      </w:r>
      <w:r w:rsid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4</w:t>
      </w:r>
      <w:r w:rsidRP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в </w:t>
      </w:r>
      <w:r w:rsidR="003A761E" w:rsidRP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15</w:t>
      </w:r>
      <w:r w:rsidR="00464293" w:rsidRP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часов 00 </w:t>
      </w:r>
      <w:r w:rsidR="00464293" w:rsidRPr="0066585D">
        <w:rPr>
          <w:rFonts w:ascii="PT Astra Serif" w:eastAsia="Arial" w:hAnsi="PT Astra Serif" w:cs="Arial"/>
          <w:bCs/>
          <w:color w:val="000000" w:themeColor="text1"/>
          <w:sz w:val="24"/>
          <w:szCs w:val="24"/>
          <w:lang w:eastAsia="zh-CN"/>
        </w:rPr>
        <w:t>минут</w:t>
      </w:r>
      <w:r w:rsidR="0066585D">
        <w:rPr>
          <w:rFonts w:ascii="PT Astra Serif" w:eastAsia="Arial" w:hAnsi="PT Astra Serif" w:cs="Arial"/>
          <w:bCs/>
          <w:color w:val="000000" w:themeColor="text1"/>
          <w:sz w:val="24"/>
          <w:szCs w:val="24"/>
          <w:lang w:eastAsia="zh-CN"/>
        </w:rPr>
        <w:t>, адрес места проведения</w:t>
      </w:r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: Тульская область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Заокский </w:t>
      </w:r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район, деревня </w:t>
      </w:r>
      <w:proofErr w:type="spellStart"/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Русятино</w:t>
      </w:r>
      <w:proofErr w:type="spellEnd"/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улица </w:t>
      </w:r>
      <w:proofErr w:type="spellStart"/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Болотова</w:t>
      </w:r>
      <w:proofErr w:type="spellEnd"/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д. 32, здание </w:t>
      </w:r>
      <w:proofErr w:type="spellStart"/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Русятинского</w:t>
      </w:r>
      <w:proofErr w:type="spellEnd"/>
      <w:r w:rsid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сельского дома культуры филиала МБУК «Заокский районный культурно-досуговый центр»</w:t>
      </w:r>
      <w:r w:rsidR="0066585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. </w:t>
      </w:r>
    </w:p>
    <w:p w:rsidR="00AA02F6" w:rsidRDefault="00B870BA" w:rsidP="006656B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3. Экспозиция П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роекта проходит в здании администрации муниципального образования Заокски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й район по адресу: Тульская область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Заокский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район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р.п</w:t>
      </w:r>
      <w:proofErr w:type="spellEnd"/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. </w:t>
      </w:r>
      <w:proofErr w:type="gramStart"/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Заокский</w:t>
      </w:r>
      <w:proofErr w:type="gramEnd"/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пл. им Ленина,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здание 9Б, </w:t>
      </w:r>
      <w:proofErr w:type="spellStart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каб</w:t>
      </w:r>
      <w:proofErr w:type="spellEnd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 № 14. Экспозиция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будет открыта с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28</w:t>
      </w:r>
      <w:r w:rsidR="003A761E" w:rsidRP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.0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8</w:t>
      </w:r>
      <w:r w:rsidR="003A761E" w:rsidRP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.202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4</w:t>
      </w:r>
      <w:r w:rsidR="006656BD" w:rsidRP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по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11</w:t>
      </w:r>
      <w:r w:rsidR="003A761E" w:rsidRP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.0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9</w:t>
      </w:r>
      <w:r w:rsidR="003A761E" w:rsidRPr="00B870BA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.202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4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(включительно).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Часы работы экспозиции: в рабочие дни с 10 часов 00 минут до 16 часов 00 минут, на экспозиции проводятся консультации по теме публичных слушаний.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</w:t>
      </w:r>
    </w:p>
    <w:p w:rsidR="00AA02F6" w:rsidRDefault="00464293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b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4. Предложения и замечания,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касающиеся П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роекта, можно подавать в устной и письменной форме в ходе проведения собрания участников публичных слушаний, в письменной форме 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в адрес организатора публичных слушаний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или в форме электронного документа в адрес администрации муниципального образования Заокский район: </w:t>
      </w:r>
      <w:proofErr w:type="gramStart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Тульская</w:t>
      </w:r>
      <w:proofErr w:type="gramEnd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обл., Заокский р-н, р.п. Заокский, пл. им. </w:t>
      </w:r>
      <w:r w:rsidR="006656BD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Ленина, д. 9б, в будние дни с 9 часов 00 минут до 17 часов 00 минут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 </w:t>
      </w:r>
      <w:r w:rsidR="003A761E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28.0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8</w:t>
      </w:r>
      <w:r w:rsidR="003A761E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.202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4</w:t>
      </w:r>
      <w:r w:rsidR="006656BD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по 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11</w:t>
      </w:r>
      <w:r w:rsidR="003A761E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.0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9</w:t>
      </w:r>
      <w:r w:rsidR="003A761E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.202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4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а также в администрацию муниципального образования Заокский район, </w:t>
      </w:r>
      <w:proofErr w:type="spellStart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каб</w:t>
      </w:r>
      <w:proofErr w:type="spellEnd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 № 14, посредством записи в книге (журнале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) учета посетителей экспозиции П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роекта, подлежащего рассмотрению на публичных слушаниях. </w:t>
      </w:r>
    </w:p>
    <w:p w:rsidR="007239A4" w:rsidRDefault="007239A4" w:rsidP="005776D9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lastRenderedPageBreak/>
        <w:t xml:space="preserve">5. Проект, подлежащий рассмотрению на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публичн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ых слушаниях, и информационные материалы к нему 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подлежат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размещен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ию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на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официальном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сайте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муниципального образования Заокский район </w:t>
      </w:r>
      <w:r w:rsidR="005776D9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zaokskij-r71.gosweb.gosuslugi.ru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</w:t>
      </w:r>
    </w:p>
    <w:p w:rsidR="005776D9" w:rsidRDefault="007239A4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6. </w:t>
      </w:r>
      <w:r w:rsidR="005776D9" w:rsidRP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Участниками публичных слушаний по Проекту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.</w:t>
      </w:r>
    </w:p>
    <w:p w:rsidR="007239A4" w:rsidRDefault="007239A4" w:rsidP="006656B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Участники публичных слушаний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обязаны пре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дставить документы, содержащие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сведения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о фамилии, имени, отчестве (при наличии), дате рождения, адресе места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жи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тельства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(регистрации) - для физических лиц; наименование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, основной государственный регистрационный номер, место нахождения и адрес - для юридических лиц, с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приложени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ем документов, подтверждающих такие сведения.</w:t>
      </w:r>
      <w:proofErr w:type="gramEnd"/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Участники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публичных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слушаний, являющиеся правообладателями соответствующих земельных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участков и (или) расположенных на них объектов капитального строительства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и (или) помещений, являющихся частью указанных объектов капитального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ст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роительства, также представляют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 све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дения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соответственно о таких земельных участках, объектах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капитального строительства, помещениях, являющихся частью указанных объектов капитального строительства,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из Единого государственного реестра недвижимости  и иные документы, устанавливающие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или удостоверяющие их права на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такие земельные участки, объекты капитального строительства, помещения, являющиеся частью указанных объект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ов капитального строительства.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Участникам публичных слушаний также необходимо иметь при себе копии вышеуказанных документов.</w:t>
      </w:r>
    </w:p>
    <w:p w:rsidR="007239A4" w:rsidRDefault="00464293" w:rsidP="006656B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Регистрация участников публичных слушаний будет производиться за час до начала публичных слушаний. </w:t>
      </w:r>
    </w:p>
    <w:p w:rsidR="007239A4" w:rsidRDefault="007239A4" w:rsidP="006656B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7. Комиссии по подготовке и проведению публичных сл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ушаний в установленном порядке 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обеспечить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проведение вышеуказа</w:t>
      </w:r>
      <w:r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нных 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 xml:space="preserve">публичных слушаний и 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организовать учет предл</w:t>
      </w:r>
      <w:r w:rsidR="005776D9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ожений и замечаний, касающихся П</w:t>
      </w:r>
      <w:r w:rsidR="00464293">
        <w:rPr>
          <w:rFonts w:ascii="PT Astra Serif" w:eastAsia="Arial" w:hAnsi="PT Astra Serif" w:cs="Arial"/>
          <w:color w:val="000000" w:themeColor="text1"/>
          <w:sz w:val="24"/>
          <w:szCs w:val="24"/>
          <w:lang w:eastAsia="zh-CN"/>
        </w:rPr>
        <w:t>роекта.</w:t>
      </w:r>
    </w:p>
    <w:p w:rsidR="00AA02F6" w:rsidRPr="007239A4" w:rsidRDefault="00464293" w:rsidP="006656B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8. Опубликовать настоящее решение в общественно-политической газете «Заокский вестник».</w:t>
      </w:r>
    </w:p>
    <w:p w:rsidR="00AA02F6" w:rsidRDefault="0046429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9. </w:t>
      </w:r>
      <w:proofErr w:type="gramStart"/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Разместить</w:t>
      </w:r>
      <w:proofErr w:type="gramEnd"/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 настоящее решение на официальном сайте муниципального образования Заокский район </w:t>
      </w:r>
      <w:r w:rsidR="005776D9" w:rsidRPr="005776D9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zaokskij-r71.gosweb.gosuslugi.ru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.</w:t>
      </w:r>
    </w:p>
    <w:p w:rsidR="00AA02F6" w:rsidRDefault="0046429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10. </w:t>
      </w:r>
      <w:proofErr w:type="gramStart"/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Разместить</w:t>
      </w:r>
      <w:proofErr w:type="gramEnd"/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 настоящее решение в местах официального обнародования муниципальных правовых актов муниципального образования Заокский район. </w:t>
      </w:r>
    </w:p>
    <w:p w:rsidR="00AA02F6" w:rsidRPr="00AC0648" w:rsidRDefault="007239A4" w:rsidP="00AC06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CN"/>
        </w:rPr>
      </w:pP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 xml:space="preserve">11. </w:t>
      </w:r>
      <w:r w:rsidR="00464293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zh-CN"/>
        </w:rPr>
        <w:t>Решение вступает в силу со дня его официального обнародования.</w:t>
      </w:r>
    </w:p>
    <w:p w:rsidR="00AA02F6" w:rsidRDefault="00AA02F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786"/>
        <w:gridCol w:w="4862"/>
      </w:tblGrid>
      <w:tr w:rsidR="00AA02F6">
        <w:tc>
          <w:tcPr>
            <w:tcW w:w="4786" w:type="dxa"/>
            <w:shd w:val="clear" w:color="auto" w:fill="auto"/>
          </w:tcPr>
          <w:p w:rsidR="00AA02F6" w:rsidRDefault="0046429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zh-CN"/>
              </w:rPr>
              <w:t>Глава муниципального образования Заокский район</w:t>
            </w:r>
          </w:p>
        </w:tc>
        <w:tc>
          <w:tcPr>
            <w:tcW w:w="4861" w:type="dxa"/>
            <w:shd w:val="clear" w:color="auto" w:fill="auto"/>
          </w:tcPr>
          <w:p w:rsidR="00AA02F6" w:rsidRDefault="00AA02F6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AA02F6" w:rsidRDefault="00AC064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zh-CN"/>
              </w:rPr>
              <w:t>А.Л. Клочко</w:t>
            </w:r>
          </w:p>
          <w:p w:rsidR="00AA02F6" w:rsidRDefault="00AA02F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sectPr w:rsidR="00AA02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F6"/>
    <w:rsid w:val="00251094"/>
    <w:rsid w:val="003A761E"/>
    <w:rsid w:val="00464293"/>
    <w:rsid w:val="005776D9"/>
    <w:rsid w:val="006656BD"/>
    <w:rsid w:val="0066585D"/>
    <w:rsid w:val="007239A4"/>
    <w:rsid w:val="00AA02F6"/>
    <w:rsid w:val="00AC0648"/>
    <w:rsid w:val="00B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21B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8821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21B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8821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Комиссарова</cp:lastModifiedBy>
  <cp:revision>2</cp:revision>
  <cp:lastPrinted>2022-07-06T13:20:00Z</cp:lastPrinted>
  <dcterms:created xsi:type="dcterms:W3CDTF">2023-04-14T12:26:00Z</dcterms:created>
  <dcterms:modified xsi:type="dcterms:W3CDTF">2024-08-21T14:38:00Z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