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F1649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F1649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SBR012-2403220032.1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proofErr w:type="gramEnd"/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proofErr w:type="gramStart"/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601890" w:rsidRDefault="00FC5668" w:rsidP="006018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601890" w:rsidRDefault="00601890" w:rsidP="006018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010101:5190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4001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010101:3989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601890" w:rsidRDefault="00601890" w:rsidP="006018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642200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шестьсот сорок две тысячи двести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 xml:space="preserve">19266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девятнадцать тысяч двести шестьдесят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 xml:space="preserve">321100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триста двадцать одна тысяча сто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1F1649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было подано </w:t>
      </w:r>
      <w:r w:rsidR="001F16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1F1649">
        <w:rPr>
          <w:rFonts w:ascii="PT Astra Serif" w:hAnsi="PT Astra Serif"/>
          <w:sz w:val="24"/>
          <w:szCs w:val="24"/>
        </w:rPr>
        <w:t>три</w:t>
      </w:r>
      <w:r>
        <w:rPr>
          <w:rFonts w:ascii="PT Astra Serif" w:hAnsi="PT Astra Serif"/>
          <w:sz w:val="24"/>
          <w:szCs w:val="24"/>
        </w:rPr>
        <w:t>) заявки: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601890" w:rsidRP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0189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7860</w:t>
      </w:r>
    </w:p>
    <w:p w:rsidR="00601890" w:rsidRP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01890" w:rsidRPr="00601890">
        <w:rPr>
          <w:rFonts w:ascii="PT Astra Serif" w:hAnsi="PT Astra Serif" w:cs="Arial"/>
          <w:color w:val="auto"/>
          <w:bdr w:val="none" w:sz="0" w:space="0" w:color="auto" w:frame="1"/>
        </w:rPr>
        <w:t>24.04.2024 10:27:41</w:t>
      </w:r>
    </w:p>
    <w:p w:rsidR="00601890" w:rsidRP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0189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Чередниченко Дмитрий Александрович</w:t>
      </w:r>
    </w:p>
    <w:p w:rsidR="00601890" w:rsidRPr="00601890" w:rsidRDefault="00601890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01890" w:rsidRP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01890" w:rsidRPr="00601890">
        <w:rPr>
          <w:rFonts w:ascii="PT Astra Serif" w:hAnsi="PT Astra Serif" w:cs="Arial"/>
          <w:color w:val="auto"/>
          <w:bdr w:val="none" w:sz="0" w:space="0" w:color="auto" w:frame="1"/>
        </w:rPr>
        <w:t>369</w:t>
      </w:r>
    </w:p>
    <w:p w:rsidR="007619C2" w:rsidRP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24.04.2024 11:52:08</w:t>
      </w:r>
    </w:p>
    <w:p w:rsidR="007619C2" w:rsidRPr="00601890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7619C2" w:rsidRPr="00601890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601890" w:rsidRPr="00601890" w:rsidRDefault="00601890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B2B4D" w:rsidRPr="00601890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01890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345</w:t>
      </w:r>
    </w:p>
    <w:p w:rsidR="00EB2B4D" w:rsidRPr="00601890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24.04.2024 11:54:37</w:t>
      </w:r>
    </w:p>
    <w:p w:rsidR="00EB2B4D" w:rsidRPr="00601890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0189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="00601890" w:rsidRPr="00601890">
        <w:rPr>
          <w:rFonts w:ascii="PT Astra Serif" w:hAnsi="PT Astra Serif" w:cs="Arial"/>
          <w:color w:val="auto"/>
          <w:shd w:val="clear" w:color="auto" w:fill="FFFFFF"/>
        </w:rPr>
        <w:t>Чередниченко Дмитрий Александрович</w:t>
      </w:r>
      <w:r w:rsidR="00601890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601890" w:rsidRPr="00EB2B4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="00601890"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601890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="00601890" w:rsidRPr="00EB2B4D">
        <w:rPr>
          <w:rFonts w:ascii="PT Astra Serif" w:hAnsi="PT Astra Serif"/>
          <w:color w:val="auto"/>
        </w:rPr>
        <w:t>.</w:t>
      </w:r>
      <w:r w:rsidR="00601890">
        <w:rPr>
          <w:rFonts w:ascii="PT Astra Serif" w:hAnsi="PT Astra Serif"/>
          <w:color w:val="auto"/>
        </w:rPr>
        <w:t xml:space="preserve"> 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40209A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63</cp:revision>
  <cp:lastPrinted>2022-04-28T13:02:00Z</cp:lastPrinted>
  <dcterms:created xsi:type="dcterms:W3CDTF">2021-07-06T11:24:00Z</dcterms:created>
  <dcterms:modified xsi:type="dcterms:W3CDTF">2024-04-24T14:18:00Z</dcterms:modified>
</cp:coreProperties>
</file>