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9040BB">
        <w:rPr>
          <w:rFonts w:ascii="PT Astra Serif" w:hAnsi="PT Astra Serif"/>
          <w:b/>
          <w:bCs/>
        </w:rPr>
        <w:t>8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9040BB">
        <w:rPr>
          <w:rFonts w:ascii="PT Astra Serif" w:hAnsi="PT Astra Serif"/>
          <w:b/>
          <w:bCs/>
        </w:rPr>
        <w:t>8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9040B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9040BB" w:rsidRDefault="00FC5668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9040BB" w:rsidRDefault="009040BB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8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010327:330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301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 xml:space="preserve">Тульская область, Заокский район, </w:t>
      </w:r>
      <w:r>
        <w:rPr>
          <w:rFonts w:ascii="PT Astra Serif" w:hAnsi="PT Astra Serif"/>
          <w:b/>
          <w:sz w:val="24"/>
          <w:szCs w:val="24"/>
        </w:rPr>
        <w:t xml:space="preserve">д. Новоселки,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010327:103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9040BB" w:rsidRDefault="009040BB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51800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пятьдесят одна тысяча восемьсот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1554 (</w:t>
      </w:r>
      <w:r>
        <w:rPr>
          <w:rFonts w:ascii="PT Astra Serif" w:hAnsi="PT Astra Serif" w:cs="Arial"/>
          <w:sz w:val="24"/>
          <w:szCs w:val="24"/>
        </w:rPr>
        <w:t>одна тысяча пятьсот пятьдесят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25900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двадцать пять тысяч девятьсот)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№8</w:t>
      </w:r>
      <w:r>
        <w:rPr>
          <w:rFonts w:ascii="PT Astra Serif" w:hAnsi="PT Astra Serif"/>
          <w:sz w:val="24"/>
          <w:szCs w:val="24"/>
        </w:rPr>
        <w:t xml:space="preserve"> было подано 2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(две) заявки: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8780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20:06:08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6412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20:08:44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7619C2" w:rsidRDefault="007619C2" w:rsidP="007619C2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60</cp:revision>
  <cp:lastPrinted>2022-04-28T13:02:00Z</cp:lastPrinted>
  <dcterms:created xsi:type="dcterms:W3CDTF">2021-07-06T11:24:00Z</dcterms:created>
  <dcterms:modified xsi:type="dcterms:W3CDTF">2024-01-25T13:08:00Z</dcterms:modified>
</cp:coreProperties>
</file>