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>16 января 2024</w:t>
      </w:r>
      <w:bookmarkStart w:id="0" w:name="_GoBack"/>
      <w:bookmarkEnd w:id="0"/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F23260">
        <w:rPr>
          <w:rFonts w:ascii="PT Astra Serif" w:hAnsi="PT Astra Serif"/>
          <w:color w:val="000000" w:themeColor="text1"/>
          <w:sz w:val="24"/>
          <w:szCs w:val="24"/>
        </w:rPr>
        <w:t>1</w:t>
      </w:r>
      <w:r w:rsidR="00E25D90"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.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E25D90">
        <w:rPr>
          <w:rFonts w:ascii="PT Astra Serif" w:hAnsi="PT Astra Serif"/>
          <w:color w:val="000000" w:themeColor="text1"/>
          <w:sz w:val="24"/>
          <w:szCs w:val="24"/>
        </w:rPr>
        <w:t>1862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электронного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аукциона на право заключения договор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7207D">
        <w:rPr>
          <w:rFonts w:ascii="PT Astra Serif" w:hAnsi="PT Astra Serif"/>
          <w:spacing w:val="-6"/>
          <w:sz w:val="24"/>
          <w:szCs w:val="24"/>
        </w:rPr>
        <w:t>11</w:t>
      </w:r>
      <w:r w:rsidR="00AC5ABD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spacing w:val="-6"/>
          <w:sz w:val="24"/>
          <w:szCs w:val="24"/>
        </w:rPr>
        <w:t>декабря</w:t>
      </w:r>
      <w:r w:rsidR="00AC5ABD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AC5ABD">
        <w:rPr>
          <w:rFonts w:ascii="PT Astra Serif" w:hAnsi="PT Astra Serif"/>
          <w:bCs/>
          <w:spacing w:val="-6"/>
          <w:sz w:val="24"/>
          <w:szCs w:val="24"/>
        </w:rPr>
        <w:t xml:space="preserve">14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7207D">
        <w:rPr>
          <w:rFonts w:ascii="PT Astra Serif" w:hAnsi="PT Astra Serif"/>
          <w:bCs/>
          <w:spacing w:val="-6"/>
          <w:sz w:val="24"/>
          <w:szCs w:val="24"/>
        </w:rPr>
        <w:t>14</w:t>
      </w:r>
      <w:r w:rsidR="00AC5ABD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января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15 января 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="00AC5ABD">
        <w:rPr>
          <w:rFonts w:ascii="PT Astra Serif" w:hAnsi="PT Astra Serif"/>
          <w:b/>
          <w:spacing w:val="-6"/>
          <w:sz w:val="24"/>
          <w:szCs w:val="24"/>
          <w:u w:val="single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1</w:t>
      </w:r>
      <w:r w:rsidR="00E25D90">
        <w:rPr>
          <w:rFonts w:ascii="PT Astra Serif" w:hAnsi="PT Astra Serif"/>
          <w:bCs/>
          <w:spacing w:val="-6"/>
          <w:sz w:val="24"/>
          <w:szCs w:val="24"/>
        </w:rPr>
        <w:t>6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 xml:space="preserve"> января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AC5ABD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>16 января 2024 г.</w:t>
      </w:r>
      <w:r w:rsidR="00AC5ABD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400EFB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2729A">
        <w:rPr>
          <w:rFonts w:ascii="PT Astra Serif" w:hAnsi="PT Astra Serif" w:cs="Arial"/>
          <w:b/>
          <w:sz w:val="24"/>
          <w:szCs w:val="24"/>
        </w:rPr>
        <w:t xml:space="preserve">010301:8930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F2729A">
        <w:rPr>
          <w:rFonts w:ascii="PT Astra Serif" w:hAnsi="PT Astra Serif" w:cs="Arial"/>
          <w:b/>
          <w:sz w:val="24"/>
          <w:szCs w:val="24"/>
        </w:rPr>
        <w:t>1500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F2729A"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F2729A">
        <w:rPr>
          <w:rFonts w:ascii="PT Astra Serif" w:hAnsi="PT Astra Serif"/>
          <w:b/>
          <w:sz w:val="24"/>
          <w:szCs w:val="24"/>
        </w:rPr>
        <w:t>растениеводство</w:t>
      </w:r>
      <w:r w:rsidR="00F23260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="00F2729A" w:rsidRPr="00F2729A">
        <w:rPr>
          <w:rFonts w:ascii="PT Astra Serif" w:hAnsi="PT Astra Serif"/>
          <w:b/>
          <w:sz w:val="24"/>
          <w:szCs w:val="24"/>
        </w:rPr>
        <w:t>Российская Федерация, Тульская область, Заокский район, вблизи земельного участка с</w:t>
      </w:r>
      <w:proofErr w:type="gramStart"/>
      <w:r w:rsidR="00F2729A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F2729A" w:rsidRPr="00F2729A">
        <w:rPr>
          <w:rFonts w:ascii="PT Astra Serif" w:hAnsi="PT Astra Serif"/>
          <w:b/>
          <w:sz w:val="24"/>
          <w:szCs w:val="24"/>
        </w:rPr>
        <w:t>№ 71:09:010301:6606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F2729A" w:rsidRDefault="00DE549F" w:rsidP="00F2729A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F2729A">
        <w:rPr>
          <w:rFonts w:ascii="PT Astra Serif" w:hAnsi="PT Astra Serif" w:cs="Arial"/>
          <w:sz w:val="24"/>
          <w:szCs w:val="24"/>
        </w:rPr>
        <w:t>4000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F2729A">
        <w:rPr>
          <w:rFonts w:ascii="PT Astra Serif" w:hAnsi="PT Astra Serif" w:cs="Arial"/>
          <w:sz w:val="24"/>
          <w:szCs w:val="24"/>
        </w:rPr>
        <w:t>четыре</w:t>
      </w:r>
      <w:r w:rsidR="003461F2">
        <w:rPr>
          <w:rFonts w:ascii="PT Astra Serif" w:hAnsi="PT Astra Serif" w:cs="Arial"/>
          <w:sz w:val="24"/>
          <w:szCs w:val="24"/>
        </w:rPr>
        <w:t>тысяч</w:t>
      </w:r>
      <w:r w:rsidR="00F2729A">
        <w:rPr>
          <w:rFonts w:ascii="PT Astra Serif" w:hAnsi="PT Astra Serif" w:cs="Arial"/>
          <w:sz w:val="24"/>
          <w:szCs w:val="24"/>
        </w:rPr>
        <w:t>и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F2729A">
        <w:rPr>
          <w:rFonts w:ascii="PT Astra Serif" w:hAnsi="PT Astra Serif"/>
          <w:sz w:val="24"/>
          <w:szCs w:val="24"/>
        </w:rPr>
        <w:t>120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2729A">
        <w:rPr>
          <w:rFonts w:ascii="PT Astra Serif" w:hAnsi="PT Astra Serif"/>
          <w:sz w:val="24"/>
          <w:szCs w:val="24"/>
        </w:rPr>
        <w:t>сто двадцать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F2729A"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2729A">
        <w:rPr>
          <w:rFonts w:ascii="PT Astra Serif" w:hAnsi="PT Astra Serif"/>
          <w:sz w:val="24"/>
          <w:szCs w:val="24"/>
        </w:rPr>
        <w:t>2000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2729A">
        <w:rPr>
          <w:rFonts w:ascii="PT Astra Serif" w:hAnsi="PT Astra Serif"/>
          <w:sz w:val="24"/>
          <w:szCs w:val="24"/>
        </w:rPr>
        <w:t>две</w:t>
      </w:r>
      <w:r w:rsidR="00804B8E">
        <w:rPr>
          <w:rFonts w:ascii="PT Astra Serif" w:hAnsi="PT Astra Serif"/>
          <w:sz w:val="24"/>
          <w:szCs w:val="24"/>
        </w:rPr>
        <w:t>тысяч</w:t>
      </w:r>
      <w:r w:rsidR="00AB31D0">
        <w:rPr>
          <w:rFonts w:ascii="PT Astra Serif" w:hAnsi="PT Astra Serif"/>
          <w:sz w:val="24"/>
          <w:szCs w:val="24"/>
        </w:rPr>
        <w:t>и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F2729A" w:rsidRDefault="00F2729A" w:rsidP="00F2729A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BB68E9">
        <w:rPr>
          <w:rFonts w:ascii="PT Astra Serif" w:hAnsi="PT Astra Serif"/>
          <w:sz w:val="24"/>
          <w:szCs w:val="24"/>
        </w:rPr>
        <w:lastRenderedPageBreak/>
        <w:t>Земельный участок в соответствии с правилами землепользования и застройки МО р.п. Заокский Заокского района, утвержденными постановлением администрации муниципального образования Заокский район от 21.06.2023 г. №1203 «О внесении изменений в правила землепользования и застройки муниципального образования р.п. Заокский Заокского района», входит в границы территориальной зоны «</w:t>
      </w:r>
      <w:r>
        <w:rPr>
          <w:rFonts w:ascii="PT Astra Serif" w:hAnsi="PT Astra Serif"/>
          <w:sz w:val="24"/>
          <w:szCs w:val="24"/>
        </w:rPr>
        <w:t>Сх3</w:t>
      </w:r>
      <w:r w:rsidRPr="00BB68E9">
        <w:rPr>
          <w:rFonts w:ascii="PT Astra Serif" w:hAnsi="PT Astra Serif"/>
          <w:sz w:val="24"/>
          <w:szCs w:val="24"/>
        </w:rPr>
        <w:t xml:space="preserve">» - </w:t>
      </w:r>
      <w:r w:rsidRPr="00F2729A">
        <w:rPr>
          <w:rFonts w:ascii="PT Astra Serif" w:hAnsi="PT Astra Serif" w:cs="Times New Roman"/>
          <w:sz w:val="24"/>
          <w:szCs w:val="24"/>
        </w:rPr>
        <w:t>Иные зоны сельскохозяйственного назначения.</w:t>
      </w:r>
      <w:r w:rsidRPr="00BB68E9">
        <w:rPr>
          <w:rFonts w:ascii="PT Astra Serif" w:hAnsi="PT Astra Serif"/>
          <w:sz w:val="24"/>
          <w:szCs w:val="24"/>
        </w:rPr>
        <w:t xml:space="preserve"> В соответствии с разрешенным использованием – «</w:t>
      </w:r>
      <w:r>
        <w:rPr>
          <w:rFonts w:ascii="PT Astra Serif" w:hAnsi="PT Astra Serif"/>
          <w:sz w:val="24"/>
          <w:szCs w:val="24"/>
        </w:rPr>
        <w:t>растениеводство</w:t>
      </w:r>
      <w:r w:rsidRPr="00BB68E9">
        <w:rPr>
          <w:rFonts w:ascii="PT Astra Serif" w:hAnsi="PT Astra Serif"/>
          <w:sz w:val="24"/>
          <w:szCs w:val="24"/>
        </w:rPr>
        <w:t>» предусмотрено</w:t>
      </w:r>
      <w:r>
        <w:rPr>
          <w:rFonts w:ascii="PT Astra Serif" w:hAnsi="PT Astra Serif"/>
          <w:sz w:val="24"/>
          <w:szCs w:val="24"/>
        </w:rPr>
        <w:t xml:space="preserve"> о</w:t>
      </w:r>
      <w:r w:rsidRPr="00F2729A">
        <w:rPr>
          <w:rFonts w:ascii="PT Astra Serif" w:hAnsi="PT Astra Serif"/>
          <w:sz w:val="24"/>
          <w:szCs w:val="24"/>
        </w:rPr>
        <w:t>существление хозяйственной деятельности, связанной с выращиванием сельскохозяйственных культур.</w:t>
      </w:r>
    </w:p>
    <w:p w:rsidR="00F2729A" w:rsidRDefault="00F2729A" w:rsidP="00F2729A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F2729A" w:rsidRPr="00F2729A" w:rsidRDefault="00F2729A" w:rsidP="00F2729A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1F403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охранной</w:t>
      </w:r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зон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 инженерных коммуникаций - з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минимальных расстояний объекта: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«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Магистральный газопровод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«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Тула-Торжок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»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57.5 от 66.5-124 км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»;</w:t>
      </w:r>
    </w:p>
    <w:p w:rsidR="00F2729A" w:rsidRDefault="00F2729A" w:rsidP="00F2729A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1F403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охранной</w:t>
      </w:r>
      <w:r w:rsidRPr="001F403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зон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 инженерных коммуникаций - з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он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минимальных расстояний объекта: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«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Магистральный газопровод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«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Елец-Серпухов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»</w:t>
      </w:r>
      <w:r w:rsidRPr="00F2729A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65.7 от 229.2 до 294.9 км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»</w:t>
      </w:r>
    </w:p>
    <w:p w:rsidR="00F2729A" w:rsidRDefault="00F2729A" w:rsidP="00F2729A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2729A" w:rsidRDefault="00F2729A" w:rsidP="00F2729A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E69DC" w:rsidRDefault="002E69DC" w:rsidP="00F2729A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395AF5" w:rsidRDefault="00395AF5" w:rsidP="00395AF5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010201:4616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2321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растениеводство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010201:2788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2E69DC" w:rsidRDefault="002E69DC" w:rsidP="002E69DC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1F52AE">
        <w:rPr>
          <w:rFonts w:ascii="PT Astra Serif" w:hAnsi="PT Astra Serif" w:cs="Arial"/>
          <w:sz w:val="24"/>
          <w:szCs w:val="24"/>
        </w:rPr>
        <w:t>640</w:t>
      </w:r>
      <w:r>
        <w:rPr>
          <w:rFonts w:ascii="PT Astra Serif" w:hAnsi="PT Astra Serif" w:cs="Arial"/>
          <w:sz w:val="24"/>
          <w:szCs w:val="24"/>
        </w:rPr>
        <w:t xml:space="preserve">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1F52AE">
        <w:rPr>
          <w:rFonts w:ascii="PT Astra Serif" w:hAnsi="PT Astra Serif" w:cs="Arial"/>
          <w:sz w:val="24"/>
          <w:szCs w:val="24"/>
        </w:rPr>
        <w:t>шесть</w:t>
      </w:r>
      <w:r>
        <w:rPr>
          <w:rFonts w:ascii="PT Astra Serif" w:hAnsi="PT Astra Serif" w:cs="Arial"/>
          <w:sz w:val="24"/>
          <w:szCs w:val="24"/>
        </w:rPr>
        <w:t xml:space="preserve"> тысяч</w:t>
      </w:r>
      <w:r w:rsidR="001F52AE">
        <w:rPr>
          <w:rFonts w:ascii="PT Astra Serif" w:hAnsi="PT Astra Serif" w:cs="Arial"/>
          <w:sz w:val="24"/>
          <w:szCs w:val="24"/>
        </w:rPr>
        <w:t xml:space="preserve"> четыреста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1</w:t>
      </w:r>
      <w:r w:rsidR="001F52AE">
        <w:rPr>
          <w:rFonts w:ascii="PT Astra Serif" w:hAnsi="PT Astra Serif"/>
          <w:sz w:val="24"/>
          <w:szCs w:val="24"/>
        </w:rPr>
        <w:t>92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сто </w:t>
      </w:r>
      <w:r w:rsidR="001F52AE">
        <w:rPr>
          <w:rFonts w:ascii="PT Astra Serif" w:hAnsi="PT Astra Serif"/>
          <w:sz w:val="24"/>
          <w:szCs w:val="24"/>
        </w:rPr>
        <w:t>девяносто два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1F52AE">
        <w:rPr>
          <w:rFonts w:ascii="PT Astra Serif" w:hAnsi="PT Astra Serif"/>
          <w:sz w:val="24"/>
          <w:szCs w:val="24"/>
        </w:rPr>
        <w:t>3200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1F52AE">
        <w:rPr>
          <w:rFonts w:ascii="PT Astra Serif" w:hAnsi="PT Astra Serif"/>
          <w:sz w:val="24"/>
          <w:szCs w:val="24"/>
        </w:rPr>
        <w:t>три тысячи двести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EC2414" w:rsidRDefault="00395AF5" w:rsidP="00EC241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="00F05060" w:rsidRPr="002167D3">
        <w:rPr>
          <w:rFonts w:ascii="PT Astra Serif" w:hAnsi="PT Astra Serif"/>
          <w:sz w:val="24"/>
          <w:szCs w:val="24"/>
        </w:rPr>
        <w:t xml:space="preserve">, </w:t>
      </w:r>
      <w:r w:rsidR="00F05060">
        <w:rPr>
          <w:rFonts w:ascii="PT Astra Serif" w:hAnsi="PT Astra Serif"/>
          <w:sz w:val="24"/>
          <w:szCs w:val="24"/>
        </w:rPr>
        <w:t>входит в границы территориальной зоны «</w:t>
      </w:r>
      <w:r>
        <w:rPr>
          <w:rFonts w:ascii="PT Astra Serif" w:hAnsi="PT Astra Serif"/>
          <w:sz w:val="24"/>
          <w:szCs w:val="24"/>
        </w:rPr>
        <w:t>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 w:rsidR="00F05060">
        <w:rPr>
          <w:rFonts w:ascii="PT Astra Serif" w:hAnsi="PT Astra Serif"/>
          <w:sz w:val="24"/>
          <w:szCs w:val="24"/>
        </w:rPr>
        <w:t xml:space="preserve">» - зона </w:t>
      </w:r>
      <w:r w:rsidRPr="00395AF5">
        <w:rPr>
          <w:rFonts w:ascii="PT Astra Serif" w:hAnsi="PT Astra Serif"/>
          <w:sz w:val="24"/>
          <w:szCs w:val="24"/>
        </w:rPr>
        <w:t>сельскохозяйственных угодий</w:t>
      </w:r>
      <w:r w:rsidR="00F05060" w:rsidRPr="00395AF5">
        <w:rPr>
          <w:rFonts w:ascii="PT Astra Serif" w:hAnsi="PT Astra Serif"/>
          <w:sz w:val="24"/>
          <w:szCs w:val="24"/>
        </w:rPr>
        <w:t xml:space="preserve">. </w:t>
      </w:r>
      <w:r w:rsidR="00F2729A" w:rsidRPr="00BB68E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 w:rsidR="00F2729A">
        <w:rPr>
          <w:rFonts w:ascii="PT Astra Serif" w:hAnsi="PT Astra Serif"/>
          <w:sz w:val="24"/>
          <w:szCs w:val="24"/>
        </w:rPr>
        <w:t>растениеводство</w:t>
      </w:r>
      <w:r w:rsidR="00F2729A" w:rsidRPr="00BB68E9">
        <w:rPr>
          <w:rFonts w:ascii="PT Astra Serif" w:hAnsi="PT Astra Serif"/>
          <w:sz w:val="24"/>
          <w:szCs w:val="24"/>
        </w:rPr>
        <w:t>» предусмотрено</w:t>
      </w:r>
      <w:r w:rsidR="00F2729A">
        <w:rPr>
          <w:rFonts w:ascii="PT Astra Serif" w:hAnsi="PT Astra Serif"/>
          <w:sz w:val="24"/>
          <w:szCs w:val="24"/>
        </w:rPr>
        <w:t xml:space="preserve"> о</w:t>
      </w:r>
      <w:r w:rsidR="00F2729A" w:rsidRPr="00F2729A">
        <w:rPr>
          <w:rFonts w:ascii="PT Astra Serif" w:hAnsi="PT Astra Serif"/>
          <w:sz w:val="24"/>
          <w:szCs w:val="24"/>
        </w:rPr>
        <w:t>существление хозяйственной деятельности, связанной с выращиванием сельскохозяйственных культур.</w:t>
      </w:r>
    </w:p>
    <w:p w:rsidR="00F05060" w:rsidRDefault="00F05060" w:rsidP="00F0506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05060" w:rsidRDefault="00F0506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F52AE" w:rsidRDefault="001F52AE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1F52AE" w:rsidRDefault="001F52AE" w:rsidP="001F52AE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3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010201:4617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49744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растениеводство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010201:2723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1F52AE" w:rsidRDefault="001F52AE" w:rsidP="001F52AE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137700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сто тридцать семь тысяч 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4131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четыре тысячи сто тридцать один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ь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68850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 xml:space="preserve">шестьдесят восемь </w:t>
      </w:r>
      <w:r w:rsidR="0023153F">
        <w:rPr>
          <w:rFonts w:ascii="PT Astra Serif" w:hAnsi="PT Astra Serif"/>
          <w:sz w:val="24"/>
          <w:szCs w:val="24"/>
        </w:rPr>
        <w:t xml:space="preserve">тысяч </w:t>
      </w:r>
      <w:r>
        <w:rPr>
          <w:rFonts w:ascii="PT Astra Serif" w:hAnsi="PT Astra Serif"/>
          <w:sz w:val="24"/>
          <w:szCs w:val="24"/>
        </w:rPr>
        <w:t>восемьсот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1F52AE" w:rsidRDefault="001F52AE" w:rsidP="001F52A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</w:t>
      </w:r>
      <w:r w:rsidRPr="00395AF5">
        <w:rPr>
          <w:rFonts w:ascii="PT Astra Serif" w:hAnsi="PT Astra Serif"/>
          <w:sz w:val="24"/>
          <w:szCs w:val="24"/>
        </w:rPr>
        <w:t xml:space="preserve">сельскохозяйственных угодий. </w:t>
      </w:r>
      <w:r w:rsidRPr="00BB68E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>
        <w:rPr>
          <w:rFonts w:ascii="PT Astra Serif" w:hAnsi="PT Astra Serif"/>
          <w:sz w:val="24"/>
          <w:szCs w:val="24"/>
        </w:rPr>
        <w:t>растениеводство</w:t>
      </w:r>
      <w:r w:rsidRPr="00BB68E9">
        <w:rPr>
          <w:rFonts w:ascii="PT Astra Serif" w:hAnsi="PT Astra Serif"/>
          <w:sz w:val="24"/>
          <w:szCs w:val="24"/>
        </w:rPr>
        <w:t>» предусмотрено</w:t>
      </w:r>
      <w:r>
        <w:rPr>
          <w:rFonts w:ascii="PT Astra Serif" w:hAnsi="PT Astra Serif"/>
          <w:sz w:val="24"/>
          <w:szCs w:val="24"/>
        </w:rPr>
        <w:t xml:space="preserve"> о</w:t>
      </w:r>
      <w:r w:rsidRPr="00F2729A">
        <w:rPr>
          <w:rFonts w:ascii="PT Astra Serif" w:hAnsi="PT Astra Serif"/>
          <w:sz w:val="24"/>
          <w:szCs w:val="24"/>
        </w:rPr>
        <w:t>существление хозяйственной деятельности, связанной с выращиванием сельскохозяйственных культур.</w:t>
      </w:r>
    </w:p>
    <w:p w:rsidR="001F52AE" w:rsidRDefault="001F52AE" w:rsidP="001F52AE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1F52AE" w:rsidRDefault="001F52AE" w:rsidP="001F52AE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F52AE" w:rsidRDefault="001F52AE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23153F" w:rsidRDefault="0023153F" w:rsidP="0023153F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4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010201:4618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19415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растениеводство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</w:t>
      </w:r>
      <w:r>
        <w:rPr>
          <w:rFonts w:ascii="PT Astra Serif" w:hAnsi="PT Astra Serif"/>
          <w:b/>
          <w:sz w:val="24"/>
          <w:szCs w:val="24"/>
        </w:rPr>
        <w:t>Заокский район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23153F" w:rsidRDefault="0023153F" w:rsidP="0023153F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/>
          <w:sz w:val="24"/>
          <w:szCs w:val="24"/>
        </w:rPr>
        <w:t>53700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пятьдесят три тысячи семьсот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Шаг аукциона 3 % - </w:t>
      </w:r>
      <w:r>
        <w:rPr>
          <w:rFonts w:ascii="PT Astra Serif" w:hAnsi="PT Astra Serif"/>
          <w:sz w:val="24"/>
          <w:szCs w:val="24"/>
        </w:rPr>
        <w:t>1611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одна тысяча шестьсот одиннадцать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26850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 w:cs="Arial"/>
          <w:sz w:val="24"/>
          <w:szCs w:val="24"/>
        </w:rPr>
        <w:t xml:space="preserve">двадцать </w:t>
      </w:r>
      <w:r>
        <w:rPr>
          <w:rFonts w:ascii="PT Astra Serif" w:hAnsi="PT Astra Serif"/>
          <w:sz w:val="24"/>
          <w:szCs w:val="24"/>
        </w:rPr>
        <w:t>шесть тысяч восемьсот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23153F" w:rsidRDefault="0023153F" w:rsidP="0023153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</w:t>
      </w:r>
      <w:r w:rsidRPr="00395AF5">
        <w:rPr>
          <w:rFonts w:ascii="PT Astra Serif" w:hAnsi="PT Astra Serif"/>
          <w:sz w:val="24"/>
          <w:szCs w:val="24"/>
        </w:rPr>
        <w:t xml:space="preserve">сельскохозяйственных угодий. </w:t>
      </w:r>
      <w:r w:rsidRPr="00BB68E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>
        <w:rPr>
          <w:rFonts w:ascii="PT Astra Serif" w:hAnsi="PT Astra Serif"/>
          <w:sz w:val="24"/>
          <w:szCs w:val="24"/>
        </w:rPr>
        <w:t>растениеводство</w:t>
      </w:r>
      <w:r w:rsidRPr="00BB68E9">
        <w:rPr>
          <w:rFonts w:ascii="PT Astra Serif" w:hAnsi="PT Astra Serif"/>
          <w:sz w:val="24"/>
          <w:szCs w:val="24"/>
        </w:rPr>
        <w:t>» предусмотрено</w:t>
      </w:r>
      <w:r>
        <w:rPr>
          <w:rFonts w:ascii="PT Astra Serif" w:hAnsi="PT Astra Serif"/>
          <w:sz w:val="24"/>
          <w:szCs w:val="24"/>
        </w:rPr>
        <w:t xml:space="preserve"> о</w:t>
      </w:r>
      <w:r w:rsidRPr="00F2729A">
        <w:rPr>
          <w:rFonts w:ascii="PT Astra Serif" w:hAnsi="PT Astra Serif"/>
          <w:sz w:val="24"/>
          <w:szCs w:val="24"/>
        </w:rPr>
        <w:t>существление хозяйственной деятельности, связанной с выращиванием сельскохозяйственных культур.</w:t>
      </w:r>
    </w:p>
    <w:p w:rsidR="0023153F" w:rsidRDefault="0023153F" w:rsidP="0023153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23153F" w:rsidRDefault="0023153F" w:rsidP="0023153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3153F" w:rsidRDefault="0023153F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5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010201:4619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24076</w:t>
      </w:r>
      <w:r w:rsidR="00AC5ABD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растениеводство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</w:t>
      </w:r>
      <w:r>
        <w:rPr>
          <w:rFonts w:ascii="PT Astra Serif" w:hAnsi="PT Astra Serif"/>
          <w:b/>
          <w:sz w:val="24"/>
          <w:szCs w:val="24"/>
        </w:rPr>
        <w:t>Заокский район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/>
          <w:sz w:val="24"/>
          <w:szCs w:val="24"/>
        </w:rPr>
        <w:t>66700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шестьдесят шесть тысяч семьсот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Шаг аукциона 3 % - </w:t>
      </w:r>
      <w:r>
        <w:rPr>
          <w:rFonts w:ascii="PT Astra Serif" w:hAnsi="PT Astra Serif"/>
          <w:sz w:val="24"/>
          <w:szCs w:val="24"/>
        </w:rPr>
        <w:t>2001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две тысячи один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ь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 w:cs="Arial"/>
          <w:sz w:val="24"/>
          <w:szCs w:val="24"/>
        </w:rPr>
        <w:t>33350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 w:cs="Arial"/>
          <w:sz w:val="24"/>
          <w:szCs w:val="24"/>
        </w:rPr>
        <w:t>тридцать три тысячи триста</w:t>
      </w:r>
      <w:r>
        <w:rPr>
          <w:rFonts w:ascii="PT Astra Serif" w:hAnsi="PT Astra Serif"/>
          <w:sz w:val="24"/>
          <w:szCs w:val="24"/>
        </w:rPr>
        <w:t xml:space="preserve">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</w:t>
      </w:r>
      <w:r w:rsidRPr="00395AF5">
        <w:rPr>
          <w:rFonts w:ascii="PT Astra Serif" w:hAnsi="PT Astra Serif"/>
          <w:sz w:val="24"/>
          <w:szCs w:val="24"/>
        </w:rPr>
        <w:t xml:space="preserve">сельскохозяйственных угодий. </w:t>
      </w:r>
      <w:r w:rsidRPr="00BB68E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>
        <w:rPr>
          <w:rFonts w:ascii="PT Astra Serif" w:hAnsi="PT Astra Serif"/>
          <w:sz w:val="24"/>
          <w:szCs w:val="24"/>
        </w:rPr>
        <w:t>растениеводство</w:t>
      </w:r>
      <w:r w:rsidRPr="00BB68E9">
        <w:rPr>
          <w:rFonts w:ascii="PT Astra Serif" w:hAnsi="PT Astra Serif"/>
          <w:sz w:val="24"/>
          <w:szCs w:val="24"/>
        </w:rPr>
        <w:t>» предусмотрено</w:t>
      </w:r>
      <w:r>
        <w:rPr>
          <w:rFonts w:ascii="PT Astra Serif" w:hAnsi="PT Astra Serif"/>
          <w:sz w:val="24"/>
          <w:szCs w:val="24"/>
        </w:rPr>
        <w:t xml:space="preserve"> о</w:t>
      </w:r>
      <w:r w:rsidRPr="00F2729A">
        <w:rPr>
          <w:rFonts w:ascii="PT Astra Serif" w:hAnsi="PT Astra Serif"/>
          <w:sz w:val="24"/>
          <w:szCs w:val="24"/>
        </w:rPr>
        <w:t>существление хозяйственной деятельности, связанной с выращиванием сельскохозяйственных культур.</w:t>
      </w: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lastRenderedPageBreak/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3920C6" w:rsidRDefault="003920C6" w:rsidP="003920C6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3920C6" w:rsidRDefault="003920C6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6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010201:4620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>6153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сельскохозяйственного назначения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растениеводство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>
        <w:rPr>
          <w:rFonts w:ascii="PT Astra Serif" w:hAnsi="PT Astra Serif"/>
          <w:b/>
          <w:sz w:val="24"/>
          <w:szCs w:val="24"/>
        </w:rPr>
        <w:t xml:space="preserve">Российская Федерация,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</w:t>
      </w:r>
      <w:r>
        <w:rPr>
          <w:rFonts w:ascii="PT Astra Serif" w:hAnsi="PT Astra Serif"/>
          <w:b/>
          <w:sz w:val="24"/>
          <w:szCs w:val="24"/>
        </w:rPr>
        <w:t>Заокский район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/>
          <w:sz w:val="24"/>
          <w:szCs w:val="24"/>
        </w:rPr>
        <w:t xml:space="preserve">17000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/>
          <w:sz w:val="24"/>
          <w:szCs w:val="24"/>
        </w:rPr>
        <w:t>семнадцать тысяч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Шаг аукциона 3 % - </w:t>
      </w:r>
      <w:r>
        <w:rPr>
          <w:rFonts w:ascii="PT Astra Serif" w:hAnsi="PT Astra Serif"/>
          <w:sz w:val="24"/>
          <w:szCs w:val="24"/>
        </w:rPr>
        <w:t>510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пятьсот десять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 w:cs="Arial"/>
          <w:sz w:val="24"/>
          <w:szCs w:val="24"/>
        </w:rPr>
        <w:t>8500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 w:cs="Arial"/>
          <w:sz w:val="24"/>
          <w:szCs w:val="24"/>
        </w:rPr>
        <w:t>восемь тысяч пятьсот)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«Сх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- зона </w:t>
      </w:r>
      <w:r w:rsidRPr="00395AF5">
        <w:rPr>
          <w:rFonts w:ascii="PT Astra Serif" w:hAnsi="PT Astra Serif"/>
          <w:sz w:val="24"/>
          <w:szCs w:val="24"/>
        </w:rPr>
        <w:t xml:space="preserve">сельскохозяйственных угодий. </w:t>
      </w:r>
      <w:r w:rsidRPr="00BB68E9">
        <w:rPr>
          <w:rFonts w:ascii="PT Astra Serif" w:hAnsi="PT Astra Serif"/>
          <w:sz w:val="24"/>
          <w:szCs w:val="24"/>
        </w:rPr>
        <w:t>В соответствии с разрешенным использованием – «</w:t>
      </w:r>
      <w:r>
        <w:rPr>
          <w:rFonts w:ascii="PT Astra Serif" w:hAnsi="PT Astra Serif"/>
          <w:sz w:val="24"/>
          <w:szCs w:val="24"/>
        </w:rPr>
        <w:t>растениеводство</w:t>
      </w:r>
      <w:r w:rsidRPr="00BB68E9">
        <w:rPr>
          <w:rFonts w:ascii="PT Astra Serif" w:hAnsi="PT Astra Serif"/>
          <w:sz w:val="24"/>
          <w:szCs w:val="24"/>
        </w:rPr>
        <w:t>» предусмотрено</w:t>
      </w:r>
      <w:r>
        <w:rPr>
          <w:rFonts w:ascii="PT Astra Serif" w:hAnsi="PT Astra Serif"/>
          <w:sz w:val="24"/>
          <w:szCs w:val="24"/>
        </w:rPr>
        <w:t xml:space="preserve"> о</w:t>
      </w:r>
      <w:r w:rsidRPr="00F2729A">
        <w:rPr>
          <w:rFonts w:ascii="PT Astra Serif" w:hAnsi="PT Astra Serif"/>
          <w:sz w:val="24"/>
          <w:szCs w:val="24"/>
        </w:rPr>
        <w:t>существление хозяйственной деятельности, связанной с выращиванием сельскохозяйственных культур.</w:t>
      </w:r>
    </w:p>
    <w:p w:rsidR="003920C6" w:rsidRDefault="003920C6" w:rsidP="003920C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3920C6" w:rsidRDefault="003920C6" w:rsidP="003920C6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E69DC" w:rsidRDefault="002E69DC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lastRenderedPageBreak/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lastRenderedPageBreak/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C6705"/>
    <w:rsid w:val="001C7B4D"/>
    <w:rsid w:val="001F52AE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C3429"/>
    <w:rsid w:val="002D7C05"/>
    <w:rsid w:val="002E69DC"/>
    <w:rsid w:val="0030201E"/>
    <w:rsid w:val="00317605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71E3A"/>
    <w:rsid w:val="004B1F76"/>
    <w:rsid w:val="004D2C9C"/>
    <w:rsid w:val="004D6E53"/>
    <w:rsid w:val="005377BE"/>
    <w:rsid w:val="0054237F"/>
    <w:rsid w:val="005708D5"/>
    <w:rsid w:val="00573938"/>
    <w:rsid w:val="005857DA"/>
    <w:rsid w:val="005875A5"/>
    <w:rsid w:val="005944A0"/>
    <w:rsid w:val="005A14EA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804B8E"/>
    <w:rsid w:val="00812C54"/>
    <w:rsid w:val="00817DCA"/>
    <w:rsid w:val="008219B5"/>
    <w:rsid w:val="0082787E"/>
    <w:rsid w:val="00832120"/>
    <w:rsid w:val="008453F6"/>
    <w:rsid w:val="0085550C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B31D0"/>
    <w:rsid w:val="00AC5ABD"/>
    <w:rsid w:val="00AD1FDC"/>
    <w:rsid w:val="00AE0463"/>
    <w:rsid w:val="00B535B2"/>
    <w:rsid w:val="00B625F9"/>
    <w:rsid w:val="00BA1A62"/>
    <w:rsid w:val="00BA27A9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5184A"/>
    <w:rsid w:val="00EB7231"/>
    <w:rsid w:val="00EC2414"/>
    <w:rsid w:val="00EE0605"/>
    <w:rsid w:val="00EE0CBE"/>
    <w:rsid w:val="00EF7124"/>
    <w:rsid w:val="00EF79E7"/>
    <w:rsid w:val="00F04064"/>
    <w:rsid w:val="00F05060"/>
    <w:rsid w:val="00F23260"/>
    <w:rsid w:val="00F2729A"/>
    <w:rsid w:val="00F32213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7AAF-01F6-4B3A-A3E8-D4310BD32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4496</Words>
  <Characters>25631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122</cp:revision>
  <dcterms:created xsi:type="dcterms:W3CDTF">2023-05-19T11:07:00Z</dcterms:created>
  <dcterms:modified xsi:type="dcterms:W3CDTF">2023-12-11T09:20:00Z</dcterms:modified>
</cp:coreProperties>
</file>