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2F706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C75C1E">
        <w:rPr>
          <w:rFonts w:ascii="PT Astra Serif" w:hAnsi="PT Astra Serif" w:cs="Times New Roman CYR"/>
          <w:b/>
          <w:spacing w:val="-4"/>
          <w:sz w:val="24"/>
          <w:szCs w:val="24"/>
        </w:rPr>
        <w:t>25 февраля</w:t>
      </w:r>
      <w:r w:rsidR="002720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C75C1E">
        <w:rPr>
          <w:rFonts w:ascii="PT Astra Serif" w:hAnsi="PT Astra Serif" w:cs="Times New Roman CYR"/>
          <w:b/>
          <w:spacing w:val="-4"/>
          <w:sz w:val="24"/>
          <w:szCs w:val="24"/>
        </w:rPr>
        <w:t>5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C6789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C6789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ого 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участк</w:t>
      </w:r>
      <w:r w:rsidR="007C6789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</w:t>
      </w:r>
      <w:r w:rsidR="00747B42">
        <w:rPr>
          <w:rFonts w:ascii="PT Astra Serif" w:hAnsi="PT Astra Serif"/>
          <w:bCs/>
          <w:sz w:val="24"/>
          <w:szCs w:val="24"/>
          <w:shd w:val="clear" w:color="auto" w:fill="FFFFFF"/>
        </w:rPr>
        <w:t>48734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</w:t>
      </w:r>
      <w:r w:rsidR="002F7061">
        <w:rPr>
          <w:rFonts w:ascii="PT Astra Serif" w:hAnsi="PT Astra Serif"/>
          <w:bCs/>
          <w:sz w:val="24"/>
          <w:szCs w:val="24"/>
          <w:shd w:val="clear" w:color="auto" w:fill="FFFFFF"/>
        </w:rPr>
        <w:t>2-83-21,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2-81-48;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7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</w:t>
      </w:r>
      <w:r w:rsidRPr="009A0C25">
        <w:rPr>
          <w:rFonts w:ascii="PT Astra Serif" w:hAnsi="PT Astra Serif"/>
          <w:sz w:val="24"/>
          <w:szCs w:val="24"/>
        </w:rPr>
        <w:t xml:space="preserve">от </w:t>
      </w:r>
      <w:r w:rsidR="007374BA">
        <w:rPr>
          <w:rFonts w:ascii="PT Astra Serif" w:hAnsi="PT Astra Serif"/>
          <w:color w:val="000000" w:themeColor="text1"/>
          <w:sz w:val="24"/>
          <w:szCs w:val="24"/>
        </w:rPr>
        <w:t>20.01.2025 №43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</w:t>
      </w:r>
      <w:proofErr w:type="gramStart"/>
      <w:r w:rsidRPr="00A87157">
        <w:rPr>
          <w:rFonts w:ascii="PT Astra Serif" w:hAnsi="PT Astra Serif"/>
          <w:color w:val="000000" w:themeColor="text1"/>
          <w:sz w:val="24"/>
          <w:szCs w:val="24"/>
        </w:rPr>
        <w:t>ии ау</w:t>
      </w:r>
      <w:proofErr w:type="gramEnd"/>
      <w:r w:rsidRPr="00A87157">
        <w:rPr>
          <w:rFonts w:ascii="PT Astra Serif" w:hAnsi="PT Astra Serif"/>
          <w:color w:val="000000" w:themeColor="text1"/>
          <w:sz w:val="24"/>
          <w:szCs w:val="24"/>
        </w:rPr>
        <w:t>кциона</w:t>
      </w:r>
      <w:r w:rsidR="002F7061"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в электронной форме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на право заключения договор</w:t>
      </w:r>
      <w:r w:rsidR="001C266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F2729A"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4D2C9C" w:rsidRPr="00A87157">
        <w:rPr>
          <w:rFonts w:ascii="PT Astra Serif" w:hAnsi="PT Astra Serif"/>
          <w:color w:val="000000" w:themeColor="text1"/>
          <w:sz w:val="24"/>
          <w:szCs w:val="24"/>
        </w:rPr>
        <w:t>купли-продажи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1C266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1C266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</w:t>
      </w:r>
      <w:r w:rsidR="001C2666">
        <w:rPr>
          <w:rFonts w:ascii="PT Astra Serif" w:hAnsi="PT Astra Serif"/>
          <w:bCs/>
          <w:spacing w:val="-6"/>
          <w:sz w:val="24"/>
          <w:szCs w:val="24"/>
        </w:rPr>
        <w:t xml:space="preserve">иверсальная торговая платформа 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8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202C4B">
        <w:rPr>
          <w:rFonts w:ascii="PT Astra Serif" w:hAnsi="PT Astra Serif"/>
          <w:spacing w:val="-6"/>
          <w:sz w:val="24"/>
          <w:szCs w:val="24"/>
        </w:rPr>
        <w:t>21 янв</w:t>
      </w:r>
      <w:r w:rsidR="00C75C1E">
        <w:rPr>
          <w:rFonts w:ascii="PT Astra Serif" w:hAnsi="PT Astra Serif"/>
          <w:spacing w:val="-6"/>
          <w:sz w:val="24"/>
          <w:szCs w:val="24"/>
        </w:rPr>
        <w:t>аря</w:t>
      </w:r>
      <w:r w:rsidR="00A45DBB">
        <w:rPr>
          <w:rFonts w:ascii="PT Astra Serif" w:hAnsi="PT Astra Serif"/>
          <w:spacing w:val="-6"/>
          <w:sz w:val="24"/>
          <w:szCs w:val="24"/>
        </w:rPr>
        <w:t xml:space="preserve"> 202</w:t>
      </w:r>
      <w:r w:rsidR="001C2666">
        <w:rPr>
          <w:rFonts w:ascii="PT Astra Serif" w:hAnsi="PT Astra Serif"/>
          <w:spacing w:val="-6"/>
          <w:sz w:val="24"/>
          <w:szCs w:val="24"/>
        </w:rPr>
        <w:t>5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A87157">
        <w:rPr>
          <w:rFonts w:ascii="PT Astra Serif" w:hAnsi="PT Astra Serif"/>
          <w:bCs/>
          <w:spacing w:val="-6"/>
          <w:sz w:val="24"/>
          <w:szCs w:val="24"/>
        </w:rPr>
        <w:t>1</w:t>
      </w:r>
      <w:r w:rsidR="00A45DBB">
        <w:rPr>
          <w:rFonts w:ascii="PT Astra Serif" w:hAnsi="PT Astra Serif"/>
          <w:bCs/>
          <w:spacing w:val="-6"/>
          <w:sz w:val="24"/>
          <w:szCs w:val="24"/>
        </w:rPr>
        <w:t>0</w:t>
      </w:r>
      <w:r w:rsidR="004667F9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9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C75C1E">
        <w:rPr>
          <w:rFonts w:ascii="PT Astra Serif" w:hAnsi="PT Astra Serif"/>
          <w:spacing w:val="-6"/>
          <w:sz w:val="24"/>
          <w:szCs w:val="24"/>
        </w:rPr>
        <w:t>23 февраля 2025</w:t>
      </w:r>
      <w:r w:rsidR="00C75C1E"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1C2666">
        <w:rPr>
          <w:rFonts w:ascii="PT Astra Serif" w:hAnsi="PT Astra Serif"/>
          <w:spacing w:val="-6"/>
          <w:sz w:val="24"/>
          <w:szCs w:val="24"/>
        </w:rPr>
        <w:t xml:space="preserve">24 февраля </w:t>
      </w:r>
      <w:r w:rsidR="007C6789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spacing w:val="-6"/>
          <w:sz w:val="24"/>
          <w:szCs w:val="24"/>
        </w:rPr>
        <w:t>202</w:t>
      </w:r>
      <w:r w:rsidR="001C2666">
        <w:rPr>
          <w:rFonts w:ascii="PT Astra Serif" w:hAnsi="PT Astra Serif"/>
          <w:spacing w:val="-6"/>
          <w:sz w:val="24"/>
          <w:szCs w:val="24"/>
        </w:rPr>
        <w:t xml:space="preserve">5 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1C2666">
        <w:rPr>
          <w:rFonts w:ascii="PT Astra Serif" w:hAnsi="PT Astra Serif"/>
          <w:spacing w:val="-6"/>
          <w:sz w:val="24"/>
          <w:szCs w:val="24"/>
        </w:rPr>
        <w:t>25 февраля</w:t>
      </w:r>
      <w:r w:rsidR="007C6789">
        <w:rPr>
          <w:rFonts w:ascii="PT Astra Serif" w:hAnsi="PT Astra Serif"/>
          <w:spacing w:val="-6"/>
          <w:sz w:val="24"/>
          <w:szCs w:val="24"/>
        </w:rPr>
        <w:t xml:space="preserve"> 202</w:t>
      </w:r>
      <w:r w:rsidR="001C2666">
        <w:rPr>
          <w:rFonts w:ascii="PT Astra Serif" w:hAnsi="PT Astra Serif"/>
          <w:spacing w:val="-6"/>
          <w:sz w:val="24"/>
          <w:szCs w:val="24"/>
        </w:rPr>
        <w:t>5</w:t>
      </w:r>
      <w:r w:rsidR="007C6789">
        <w:rPr>
          <w:rFonts w:ascii="PT Astra Serif" w:hAnsi="PT Astra Serif"/>
          <w:spacing w:val="-6"/>
          <w:sz w:val="24"/>
          <w:szCs w:val="24"/>
        </w:rPr>
        <w:t xml:space="preserve"> 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>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747B42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1C2666">
        <w:rPr>
          <w:rFonts w:ascii="PT Astra Serif" w:hAnsi="PT Astra Serif"/>
          <w:spacing w:val="-6"/>
          <w:sz w:val="24"/>
          <w:szCs w:val="24"/>
        </w:rPr>
        <w:t xml:space="preserve">25 февраля 2025 </w:t>
      </w:r>
      <w:r w:rsidR="001C2666" w:rsidRPr="0027207D">
        <w:rPr>
          <w:rFonts w:ascii="PT Astra Serif" w:hAnsi="PT Astra Serif"/>
          <w:spacing w:val="-6"/>
          <w:sz w:val="24"/>
          <w:szCs w:val="24"/>
        </w:rPr>
        <w:t>г.</w:t>
      </w:r>
      <w:r w:rsidR="001C2666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1C2666" w:rsidP="002F7061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</w:t>
      </w:r>
      <w:r w:rsidR="00EE0CBE"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1C6705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  <w:r w:rsidR="002F7061">
        <w:rPr>
          <w:rFonts w:ascii="PT Astra Serif" w:hAnsi="PT Astra Serif"/>
          <w:sz w:val="24"/>
          <w:szCs w:val="24"/>
        </w:rPr>
        <w:t>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 w:rsidR="00D06BFD">
        <w:rPr>
          <w:rFonts w:ascii="PT Astra Serif" w:hAnsi="PT Astra Serif"/>
          <w:b/>
          <w:sz w:val="24"/>
          <w:szCs w:val="24"/>
        </w:rPr>
        <w:t>1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1C2666">
        <w:rPr>
          <w:rFonts w:ascii="PT Astra Serif" w:hAnsi="PT Astra Serif" w:cs="Arial"/>
          <w:b/>
          <w:sz w:val="24"/>
          <w:szCs w:val="24"/>
        </w:rPr>
        <w:t>020101:1869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площадью</w:t>
      </w:r>
      <w:r w:rsidR="00A45DBB">
        <w:rPr>
          <w:rFonts w:ascii="PT Astra Serif" w:hAnsi="PT Astra Serif" w:cs="Arial"/>
          <w:b/>
          <w:sz w:val="24"/>
          <w:szCs w:val="24"/>
        </w:rPr>
        <w:t xml:space="preserve"> </w:t>
      </w:r>
      <w:r w:rsidR="001C2666">
        <w:rPr>
          <w:rFonts w:ascii="PT Astra Serif" w:hAnsi="PT Astra Serif" w:cs="Arial"/>
          <w:b/>
          <w:sz w:val="24"/>
          <w:szCs w:val="24"/>
        </w:rPr>
        <w:t>1500</w:t>
      </w:r>
      <w:r w:rsidR="00A45DBB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1D6AD3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 w:rsidR="007E5EB1">
        <w:rPr>
          <w:rFonts w:ascii="PT Astra Serif" w:hAnsi="PT Astra Serif"/>
          <w:b/>
          <w:sz w:val="24"/>
          <w:szCs w:val="24"/>
        </w:rPr>
        <w:t>льская область, Заокский район,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1C2666">
        <w:rPr>
          <w:rFonts w:ascii="PT Astra Serif" w:hAnsi="PT Astra Serif"/>
          <w:b/>
          <w:sz w:val="24"/>
          <w:szCs w:val="24"/>
        </w:rPr>
        <w:t>639 метров восточнее д. Крюково</w:t>
      </w:r>
      <w:r>
        <w:rPr>
          <w:rFonts w:ascii="PT Astra Serif" w:hAnsi="PT Astra Serif" w:cs="Arial"/>
          <w:b/>
          <w:sz w:val="24"/>
          <w:szCs w:val="24"/>
          <w:lang w:eastAsia="zh-CN"/>
        </w:rPr>
        <w:t>,</w:t>
      </w:r>
      <w:r w:rsidR="001C2666">
        <w:rPr>
          <w:rFonts w:ascii="PT Astra Serif" w:hAnsi="PT Astra Serif" w:cs="Arial"/>
          <w:b/>
          <w:sz w:val="24"/>
          <w:szCs w:val="24"/>
          <w:lang w:eastAsia="zh-CN"/>
        </w:rPr>
        <w:t xml:space="preserve"> участок 231,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являющегося собственностью</w:t>
      </w:r>
      <w:r w:rsidR="001C2666">
        <w:rPr>
          <w:rFonts w:ascii="PT Astra Serif" w:hAnsi="PT Astra Serif"/>
          <w:b/>
          <w:sz w:val="24"/>
          <w:szCs w:val="24"/>
        </w:rPr>
        <w:t xml:space="preserve"> муниципального образования Заокский район</w:t>
      </w:r>
      <w:r w:rsidRPr="00FA12C8">
        <w:rPr>
          <w:rFonts w:ascii="PT Astra Serif" w:hAnsi="PT Astra Serif"/>
          <w:b/>
          <w:sz w:val="24"/>
          <w:szCs w:val="24"/>
        </w:rPr>
        <w:t>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1C2666">
        <w:rPr>
          <w:rFonts w:ascii="PT Astra Serif" w:hAnsi="PT Astra Serif" w:cs="Arial"/>
          <w:sz w:val="24"/>
          <w:szCs w:val="24"/>
        </w:rPr>
        <w:t>199800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1C2666">
        <w:rPr>
          <w:rFonts w:ascii="PT Astra Serif" w:hAnsi="PT Astra Serif" w:cs="Arial"/>
          <w:sz w:val="24"/>
          <w:szCs w:val="24"/>
        </w:rPr>
        <w:t>сто девяносто девять тысяч восемьсот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1D6AD3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073274">
        <w:rPr>
          <w:rFonts w:ascii="PT Astra Serif" w:hAnsi="PT Astra Serif"/>
          <w:sz w:val="24"/>
          <w:szCs w:val="24"/>
        </w:rPr>
        <w:t>5994</w:t>
      </w:r>
      <w:r w:rsidR="00A45DBB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(</w:t>
      </w:r>
      <w:r w:rsidR="00073274">
        <w:rPr>
          <w:rFonts w:ascii="PT Astra Serif" w:hAnsi="PT Astra Serif" w:cs="Arial"/>
          <w:sz w:val="24"/>
          <w:szCs w:val="24"/>
        </w:rPr>
        <w:t>пять тысяч девятьсот девяносто четыре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1D6AD3">
        <w:rPr>
          <w:rFonts w:ascii="PT Astra Serif" w:hAnsi="PT Astra Serif" w:cs="Arial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073274">
        <w:rPr>
          <w:rFonts w:ascii="PT Astra Serif" w:hAnsi="PT Astra Serif"/>
          <w:sz w:val="24"/>
          <w:szCs w:val="24"/>
        </w:rPr>
        <w:t>199800</w:t>
      </w:r>
      <w:r w:rsidRPr="00FA12C8">
        <w:rPr>
          <w:rFonts w:ascii="PT Astra Serif" w:hAnsi="PT Astra Serif" w:cs="Arial"/>
          <w:sz w:val="24"/>
          <w:szCs w:val="24"/>
        </w:rPr>
        <w:t xml:space="preserve"> </w:t>
      </w:r>
      <w:r w:rsidR="00073274" w:rsidRPr="00FA12C8">
        <w:rPr>
          <w:rFonts w:ascii="PT Astra Serif" w:hAnsi="PT Astra Serif" w:cs="Arial"/>
          <w:sz w:val="24"/>
          <w:szCs w:val="24"/>
        </w:rPr>
        <w:t>(</w:t>
      </w:r>
      <w:r w:rsidR="00073274">
        <w:rPr>
          <w:rFonts w:ascii="PT Astra Serif" w:hAnsi="PT Astra Serif" w:cs="Arial"/>
          <w:sz w:val="24"/>
          <w:szCs w:val="24"/>
        </w:rPr>
        <w:t>сто девяносто девять тысяч восемьсот</w:t>
      </w:r>
      <w:r w:rsidR="00073274" w:rsidRPr="00FA12C8">
        <w:rPr>
          <w:rFonts w:ascii="PT Astra Serif" w:hAnsi="PT Astra Serif" w:cs="Arial"/>
          <w:sz w:val="24"/>
          <w:szCs w:val="24"/>
        </w:rPr>
        <w:t>)</w:t>
      </w:r>
      <w:r w:rsidR="00073274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</w:t>
      </w:r>
    </w:p>
    <w:p w:rsidR="00C31B80" w:rsidRDefault="00AF67DF" w:rsidP="00C31B8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>Земельны</w:t>
      </w:r>
      <w:r w:rsidR="007C6789">
        <w:rPr>
          <w:rFonts w:ascii="PT Astra Serif" w:hAnsi="PT Astra Serif"/>
          <w:color w:val="000000" w:themeColor="text1"/>
          <w:sz w:val="24"/>
          <w:szCs w:val="24"/>
        </w:rPr>
        <w:t>й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 участ</w:t>
      </w:r>
      <w:r w:rsidR="007C6789">
        <w:rPr>
          <w:rFonts w:ascii="PT Astra Serif" w:hAnsi="PT Astra Serif"/>
          <w:color w:val="000000" w:themeColor="text1"/>
          <w:sz w:val="24"/>
          <w:szCs w:val="24"/>
        </w:rPr>
        <w:t>ок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="00073274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</w:t>
      </w:r>
      <w:r w:rsidR="00073274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от </w:t>
      </w:r>
      <w:r w:rsidR="00E202B5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14.10.2024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</w:t>
      </w:r>
      <w:r w:rsidR="005B1C37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020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="00D41CC1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, 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входит в границы территориальной зоны «</w:t>
      </w:r>
      <w:r>
        <w:rPr>
          <w:rFonts w:ascii="PT Astra Serif" w:hAnsi="PT Astra Serif"/>
          <w:color w:val="000000" w:themeColor="text1"/>
          <w:sz w:val="24"/>
          <w:szCs w:val="24"/>
        </w:rPr>
        <w:t>Сх</w:t>
      </w:r>
      <w:proofErr w:type="gramStart"/>
      <w:r>
        <w:rPr>
          <w:rFonts w:ascii="PT Astra Serif" w:hAnsi="PT Astra Serif"/>
          <w:color w:val="000000" w:themeColor="text1"/>
          <w:sz w:val="24"/>
          <w:szCs w:val="24"/>
        </w:rPr>
        <w:t>2</w:t>
      </w:r>
      <w:proofErr w:type="gramEnd"/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» – </w:t>
      </w:r>
      <w:r>
        <w:rPr>
          <w:rFonts w:ascii="PT Astra Serif" w:eastAsia="Calibri" w:hAnsi="PT Astra Serif"/>
          <w:sz w:val="24"/>
          <w:szCs w:val="24"/>
        </w:rPr>
        <w:t>з</w:t>
      </w:r>
      <w:r w:rsidRPr="00294E71">
        <w:rPr>
          <w:rFonts w:ascii="PT Astra Serif" w:eastAsia="Calibri" w:hAnsi="PT Astra Serif"/>
          <w:sz w:val="24"/>
          <w:szCs w:val="24"/>
        </w:rPr>
        <w:t xml:space="preserve">она садоводческих или огороднических некоммерческих </w:t>
      </w:r>
      <w:r w:rsidR="00C31B80">
        <w:rPr>
          <w:rFonts w:ascii="PT Astra Serif" w:eastAsia="Calibri" w:hAnsi="PT Astra Serif"/>
          <w:sz w:val="24"/>
          <w:szCs w:val="24"/>
        </w:rPr>
        <w:t>объединений граждан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C31B80" w:rsidRPr="00C31B80" w:rsidRDefault="00C31B80" w:rsidP="00C31B8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C31B80">
        <w:rPr>
          <w:rFonts w:ascii="PT Astra Serif" w:hAnsi="PT Astra Serif"/>
          <w:sz w:val="24"/>
          <w:szCs w:val="24"/>
        </w:rPr>
        <w:t>Основные, вспомогательные и условно-разрешенные виды использования земельных участков и объектов капитального строительства</w:t>
      </w:r>
      <w:r>
        <w:rPr>
          <w:rFonts w:ascii="PT Astra Serif" w:hAnsi="PT Astra Serif"/>
          <w:color w:val="000000" w:themeColor="text1"/>
          <w:sz w:val="24"/>
          <w:szCs w:val="24"/>
        </w:rPr>
        <w:t>, предусмотренны</w:t>
      </w:r>
      <w:r w:rsidR="00904399">
        <w:rPr>
          <w:rFonts w:ascii="PT Astra Serif" w:hAnsi="PT Astra Serif"/>
          <w:color w:val="000000" w:themeColor="text1"/>
          <w:sz w:val="24"/>
          <w:szCs w:val="24"/>
        </w:rPr>
        <w:t>е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 территориальной зоной «</w:t>
      </w:r>
      <w:r w:rsidRPr="00C31B80">
        <w:rPr>
          <w:rFonts w:ascii="PT Astra Serif" w:hAnsi="PT Astra Serif"/>
          <w:sz w:val="24"/>
          <w:szCs w:val="24"/>
        </w:rPr>
        <w:t>Сх</w:t>
      </w:r>
      <w:proofErr w:type="gramStart"/>
      <w:r w:rsidRPr="00C31B80">
        <w:rPr>
          <w:rFonts w:ascii="PT Astra Serif" w:hAnsi="PT Astra Serif"/>
          <w:sz w:val="24"/>
          <w:szCs w:val="24"/>
        </w:rPr>
        <w:t>2</w:t>
      </w:r>
      <w:proofErr w:type="gramEnd"/>
      <w:r>
        <w:rPr>
          <w:rFonts w:ascii="PT Astra Serif" w:hAnsi="PT Astra Serif"/>
          <w:sz w:val="24"/>
          <w:szCs w:val="24"/>
        </w:rPr>
        <w:t>»:</w:t>
      </w:r>
    </w:p>
    <w:tbl>
      <w:tblPr>
        <w:tblW w:w="9781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6945"/>
        <w:gridCol w:w="709"/>
      </w:tblGrid>
      <w:tr w:rsidR="00C31B80" w:rsidRPr="00C31B80" w:rsidTr="00C31B80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B80" w:rsidRPr="00C31B80" w:rsidRDefault="00C31B80" w:rsidP="00C31B80">
            <w:pPr>
              <w:ind w:left="-567" w:firstLine="567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/>
                <w:b/>
                <w:sz w:val="24"/>
                <w:szCs w:val="24"/>
              </w:rPr>
              <w:t>Наименование вида разрешенного использования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B80" w:rsidRPr="00C31B80" w:rsidRDefault="00C31B80" w:rsidP="00C31B80">
            <w:pPr>
              <w:ind w:left="-567" w:firstLine="567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/>
                <w:b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B80" w:rsidRPr="00C31B80" w:rsidRDefault="00C31B80" w:rsidP="00C31B80">
            <w:pPr>
              <w:ind w:left="-567" w:firstLine="567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Код</w:t>
            </w:r>
          </w:p>
        </w:tc>
      </w:tr>
      <w:tr w:rsidR="00C31B80" w:rsidRPr="00C31B80" w:rsidTr="00C31B80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B80" w:rsidRPr="00C31B80" w:rsidRDefault="00C31B80" w:rsidP="00C31B80">
            <w:pPr>
              <w:ind w:left="-567" w:firstLine="567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b/>
                <w:smallCaps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C31B80" w:rsidRPr="00C31B80" w:rsidTr="00C31B8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B80" w:rsidRPr="00C31B80" w:rsidRDefault="00C31B80" w:rsidP="00C31B80">
            <w:pPr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Ведение огородничества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80" w:rsidRPr="00C31B80" w:rsidRDefault="00C31B80" w:rsidP="00C31B80">
            <w:pPr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80" w:rsidRPr="00C31B80" w:rsidRDefault="00C31B80" w:rsidP="00C31B80">
            <w:pPr>
              <w:ind w:left="-567" w:firstLine="567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13.1</w:t>
            </w:r>
          </w:p>
        </w:tc>
      </w:tr>
      <w:tr w:rsidR="00C31B80" w:rsidRPr="00C31B80" w:rsidTr="00C31B8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B80" w:rsidRPr="00C31B80" w:rsidRDefault="00C31B80" w:rsidP="00C31B80">
            <w:pPr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Ведение садоводства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80" w:rsidRPr="00C31B80" w:rsidRDefault="00C31B80" w:rsidP="00C31B80">
            <w:pPr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80" w:rsidRPr="00C31B80" w:rsidRDefault="00C31B80" w:rsidP="00C31B80">
            <w:pPr>
              <w:ind w:left="-567" w:firstLine="567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13.2</w:t>
            </w:r>
          </w:p>
        </w:tc>
      </w:tr>
      <w:tr w:rsidR="00C31B80" w:rsidRPr="00C31B80" w:rsidTr="00C31B8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B80" w:rsidRPr="00C31B80" w:rsidRDefault="00C31B80" w:rsidP="00C31B80">
            <w:pPr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80" w:rsidRPr="00C31B80" w:rsidRDefault="00C31B80" w:rsidP="00C31B80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31B80">
              <w:rPr>
                <w:rFonts w:ascii="PT Astra Serif" w:hAnsi="PT Astra Serif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80" w:rsidRPr="00C31B80" w:rsidRDefault="00C31B80" w:rsidP="00C31B80">
            <w:pPr>
              <w:ind w:left="-567" w:firstLine="567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3.1.1</w:t>
            </w:r>
          </w:p>
        </w:tc>
      </w:tr>
      <w:tr w:rsidR="00C31B80" w:rsidRPr="00C31B80" w:rsidTr="00C31B80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B80" w:rsidRPr="00C31B80" w:rsidRDefault="00C31B80" w:rsidP="00C31B80">
            <w:pPr>
              <w:ind w:left="-567" w:firstLine="567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b/>
                <w:smallCaps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C31B80" w:rsidRPr="00C31B80" w:rsidTr="00C31B8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B80" w:rsidRPr="00C31B80" w:rsidRDefault="00C31B80" w:rsidP="00C31B80">
            <w:pPr>
              <w:ind w:left="-62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80" w:rsidRPr="00C31B80" w:rsidRDefault="00C31B80" w:rsidP="00C31B80">
            <w:pPr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80" w:rsidRPr="00C31B80" w:rsidRDefault="00C31B80" w:rsidP="00C31B80">
            <w:pPr>
              <w:ind w:left="-567" w:firstLine="567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13.0</w:t>
            </w:r>
          </w:p>
        </w:tc>
      </w:tr>
    </w:tbl>
    <w:p w:rsidR="00C31B80" w:rsidRPr="00C31B80" w:rsidRDefault="00C31B80" w:rsidP="00C31B80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PT Astra Serif" w:hAnsi="PT Astra Serif"/>
          <w:b/>
          <w:sz w:val="24"/>
          <w:szCs w:val="24"/>
        </w:rPr>
      </w:pPr>
    </w:p>
    <w:p w:rsidR="00C31B80" w:rsidRPr="00C31B80" w:rsidRDefault="00C31B80" w:rsidP="00C31B80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C31B80"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C31B80" w:rsidRPr="00C31B80" w:rsidRDefault="00C31B80" w:rsidP="00C31B80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72"/>
        <w:gridCol w:w="5897"/>
      </w:tblGrid>
      <w:tr w:rsidR="00C31B80" w:rsidRPr="00C31B80" w:rsidTr="00C31B80">
        <w:trPr>
          <w:tblHeader/>
        </w:trPr>
        <w:tc>
          <w:tcPr>
            <w:tcW w:w="3672" w:type="dxa"/>
            <w:vAlign w:val="center"/>
          </w:tcPr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ind w:left="-567" w:firstLine="567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/>
                <w:b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5897" w:type="dxa"/>
            <w:vAlign w:val="center"/>
          </w:tcPr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ind w:left="-567" w:firstLine="567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/>
                <w:b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C31B80" w:rsidRPr="00C31B80" w:rsidTr="00C31B80">
        <w:trPr>
          <w:trHeight w:val="600"/>
        </w:trPr>
        <w:tc>
          <w:tcPr>
            <w:tcW w:w="3672" w:type="dxa"/>
          </w:tcPr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5897" w:type="dxa"/>
          </w:tcPr>
          <w:p w:rsidR="00C31B80" w:rsidRPr="00C31B80" w:rsidRDefault="00C31B80" w:rsidP="00C31B8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не подлежат установлению, кроме случаев:</w:t>
            </w:r>
          </w:p>
          <w:p w:rsidR="00C31B80" w:rsidRPr="00C31B80" w:rsidRDefault="00C31B80" w:rsidP="00C31B8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080"/>
              <w:gridCol w:w="1747"/>
              <w:gridCol w:w="1844"/>
            </w:tblGrid>
            <w:tr w:rsidR="00C31B80" w:rsidRPr="00C31B80" w:rsidTr="00A375A7">
              <w:tc>
                <w:tcPr>
                  <w:tcW w:w="2096" w:type="dxa"/>
                </w:tcPr>
                <w:p w:rsidR="00C31B80" w:rsidRPr="00C31B80" w:rsidRDefault="00C31B80" w:rsidP="00C31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C31B80">
                    <w:rPr>
                      <w:rFonts w:ascii="PT Astra Serif" w:hAnsi="PT Astra Serif"/>
                      <w:sz w:val="24"/>
                      <w:szCs w:val="24"/>
                    </w:rPr>
                    <w:t>для ведения садоводства</w:t>
                  </w:r>
                </w:p>
              </w:tc>
              <w:tc>
                <w:tcPr>
                  <w:tcW w:w="1825" w:type="dxa"/>
                </w:tcPr>
                <w:p w:rsidR="00C31B80" w:rsidRPr="00C31B80" w:rsidRDefault="00C31B80" w:rsidP="00C31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C31B80">
                    <w:rPr>
                      <w:rFonts w:ascii="PT Astra Serif" w:hAnsi="PT Astra Serif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912" w:type="dxa"/>
                </w:tcPr>
                <w:p w:rsidR="00C31B80" w:rsidRPr="00C31B80" w:rsidRDefault="00C31B80" w:rsidP="00C31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C31B80">
                    <w:rPr>
                      <w:rFonts w:ascii="PT Astra Serif" w:hAnsi="PT Astra Serif"/>
                      <w:sz w:val="24"/>
                      <w:szCs w:val="24"/>
                    </w:rPr>
                    <w:t>2500</w:t>
                  </w:r>
                </w:p>
              </w:tc>
            </w:tr>
            <w:tr w:rsidR="00C31B80" w:rsidRPr="00C31B80" w:rsidTr="00A375A7">
              <w:tc>
                <w:tcPr>
                  <w:tcW w:w="2096" w:type="dxa"/>
                </w:tcPr>
                <w:p w:rsidR="00C31B80" w:rsidRPr="00C31B80" w:rsidRDefault="00C31B80" w:rsidP="00C31B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C31B80">
                    <w:rPr>
                      <w:rFonts w:ascii="PT Astra Serif" w:hAnsi="PT Astra Serif"/>
                      <w:sz w:val="24"/>
                      <w:szCs w:val="24"/>
                    </w:rPr>
                    <w:t>для ведения огородничества</w:t>
                  </w:r>
                </w:p>
              </w:tc>
              <w:tc>
                <w:tcPr>
                  <w:tcW w:w="1825" w:type="dxa"/>
                </w:tcPr>
                <w:p w:rsidR="00C31B80" w:rsidRPr="00C31B80" w:rsidRDefault="00C31B80" w:rsidP="00C31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C31B80">
                    <w:rPr>
                      <w:rFonts w:ascii="PT Astra Serif" w:hAnsi="PT Astra Serif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2" w:type="dxa"/>
                </w:tcPr>
                <w:p w:rsidR="00C31B80" w:rsidRPr="00C31B80" w:rsidRDefault="00C31B80" w:rsidP="00C31B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/>
                      <w:sz w:val="24"/>
                      <w:szCs w:val="24"/>
                    </w:rPr>
                  </w:pPr>
                  <w:r w:rsidRPr="00C31B80">
                    <w:rPr>
                      <w:rFonts w:ascii="PT Astra Serif" w:hAnsi="PT Astra Serif"/>
                      <w:sz w:val="24"/>
                      <w:szCs w:val="24"/>
                    </w:rPr>
                    <w:t>10000</w:t>
                  </w:r>
                </w:p>
              </w:tc>
            </w:tr>
          </w:tbl>
          <w:p w:rsidR="00C31B80" w:rsidRPr="00C31B80" w:rsidRDefault="00C31B80" w:rsidP="00C31B8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31B80" w:rsidRPr="00C31B80" w:rsidTr="00C31B80">
        <w:tc>
          <w:tcPr>
            <w:tcW w:w="3672" w:type="dxa"/>
          </w:tcPr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</w:t>
            </w:r>
            <w:proofErr w:type="gramStart"/>
            <w:r w:rsidRPr="00C31B80">
              <w:rPr>
                <w:rFonts w:ascii="PT Astra Serif" w:hAnsi="PT Astra Serif"/>
                <w:sz w:val="24"/>
                <w:szCs w:val="24"/>
              </w:rPr>
              <w:t>задний</w:t>
            </w:r>
            <w:proofErr w:type="gramEnd"/>
            <w:r w:rsidRPr="00C31B80">
              <w:rPr>
                <w:rFonts w:ascii="PT Astra Serif" w:hAnsi="PT Astra Serif"/>
                <w:sz w:val="24"/>
                <w:szCs w:val="24"/>
              </w:rPr>
              <w:t>, строений, сооружений</w:t>
            </w:r>
          </w:p>
        </w:tc>
        <w:tc>
          <w:tcPr>
            <w:tcW w:w="5897" w:type="dxa"/>
          </w:tcPr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не подлежит установлению</w:t>
            </w:r>
          </w:p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4"/>
                <w:szCs w:val="24"/>
                <w:highlight w:val="red"/>
              </w:rPr>
            </w:pPr>
          </w:p>
        </w:tc>
      </w:tr>
      <w:tr w:rsidR="00C31B80" w:rsidRPr="00C31B80" w:rsidTr="00C31B80">
        <w:tc>
          <w:tcPr>
            <w:tcW w:w="3672" w:type="dxa"/>
          </w:tcPr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5897" w:type="dxa"/>
          </w:tcPr>
          <w:p w:rsidR="00C31B80" w:rsidRPr="00C31B80" w:rsidRDefault="00C31B80" w:rsidP="00C31B8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 xml:space="preserve">Не подлежат установлению, за исключением объектов капитального строительства на земельных участках для ведения садоводства </w:t>
            </w:r>
          </w:p>
          <w:p w:rsidR="00C31B80" w:rsidRPr="00C31B80" w:rsidRDefault="00C31B80" w:rsidP="00C31B8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 xml:space="preserve">- предельная высота зданий, строений, сооружений - 12 м; </w:t>
            </w:r>
          </w:p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- предельная высота хозяйственных построек - 6 м в коньке кровли</w:t>
            </w:r>
          </w:p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4"/>
                <w:szCs w:val="24"/>
                <w:highlight w:val="red"/>
              </w:rPr>
            </w:pPr>
          </w:p>
        </w:tc>
      </w:tr>
      <w:tr w:rsidR="00C31B80" w:rsidRPr="00C31B80" w:rsidTr="00C31B80">
        <w:tc>
          <w:tcPr>
            <w:tcW w:w="3672" w:type="dxa"/>
          </w:tcPr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</w:t>
            </w:r>
            <w:proofErr w:type="gramStart"/>
            <w:r w:rsidRPr="00C31B80">
              <w:rPr>
                <w:rFonts w:ascii="PT Astra Serif" w:hAnsi="PT Astra Serif"/>
                <w:sz w:val="24"/>
                <w:szCs w:val="24"/>
              </w:rPr>
              <w:t>ко</w:t>
            </w:r>
            <w:proofErr w:type="gramEnd"/>
            <w:r w:rsidRPr="00C31B80">
              <w:rPr>
                <w:rFonts w:ascii="PT Astra Serif" w:hAnsi="PT Astra Serif"/>
                <w:sz w:val="24"/>
                <w:szCs w:val="24"/>
              </w:rPr>
              <w:t xml:space="preserve"> все площади земельного участка</w:t>
            </w:r>
          </w:p>
        </w:tc>
        <w:tc>
          <w:tcPr>
            <w:tcW w:w="5897" w:type="dxa"/>
          </w:tcPr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40%</w:t>
            </w:r>
          </w:p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31B80" w:rsidRPr="00C31B80" w:rsidTr="00C31B80">
        <w:tc>
          <w:tcPr>
            <w:tcW w:w="3672" w:type="dxa"/>
          </w:tcPr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897" w:type="dxa"/>
          </w:tcPr>
          <w:p w:rsidR="00C31B80" w:rsidRPr="00C31B80" w:rsidRDefault="00C31B80" w:rsidP="00C31B80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  <w:r w:rsidRPr="00C31B80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Pr="00C31B80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минимальный отступ от границ земельного участка для ведения садоводства со стороны улицы до жилого дома, садового дома их хозяйственных построек - не менее 5 м; проезда - не менее 3 м;</w:t>
            </w:r>
          </w:p>
          <w:p w:rsidR="00C31B80" w:rsidRPr="00C31B80" w:rsidRDefault="00C31B80" w:rsidP="00C31B80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  <w:proofErr w:type="gramStart"/>
            <w:r w:rsidRPr="00C31B80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Pr="00C31B80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 xml:space="preserve">минимальный отступ от границ земельного участка </w:t>
            </w:r>
            <w:r w:rsidRPr="00C31B80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lastRenderedPageBreak/>
              <w:t>для ведения садоводства с иных сторон до жилого дома, садового дома - не менее 3 м; до хозяйственных построек (сараи, бани, теплицы, навесы, погреба, колодцы и другие сооружения и постройки (в том числе временные), предназначенные для удовлетворения гражданами бытовых и иных нужд) - не менее 1 м;</w:t>
            </w:r>
            <w:proofErr w:type="gramEnd"/>
            <w:r w:rsidRPr="00C31B80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 xml:space="preserve"> до </w:t>
            </w:r>
            <w:r w:rsidRPr="00C31B80">
              <w:rPr>
                <w:rFonts w:ascii="PT Astra Serif" w:hAnsi="PT Astra Serif" w:cs="Times New Roman"/>
                <w:sz w:val="24"/>
                <w:szCs w:val="24"/>
              </w:rPr>
              <w:t>построек для содержания скота и птицы - не менее 4 м;</w:t>
            </w:r>
          </w:p>
          <w:p w:rsidR="00C31B80" w:rsidRPr="00C31B80" w:rsidRDefault="00C31B80" w:rsidP="00C31B80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  <w:r w:rsidRPr="00C31B80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 xml:space="preserve">- в районах сложившейся </w:t>
            </w:r>
            <w:proofErr w:type="gramStart"/>
            <w:r w:rsidRPr="00C31B80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застройки жилые дома</w:t>
            </w:r>
            <w:proofErr w:type="gramEnd"/>
            <w:r w:rsidRPr="00C31B80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, садовые дома должны располагаться по существующей линии застройки, определенной планировочной структурой квартала;</w:t>
            </w:r>
          </w:p>
          <w:p w:rsidR="00C31B80" w:rsidRPr="00C31B80" w:rsidRDefault="00C31B80" w:rsidP="00C31B80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  <w:r w:rsidRPr="00C31B80"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  <w:t>- при наличии линии регулирования застройки, утвержденной документацией по планировке территории, жилые дома, садовые дома должны располагаться по линии регулирования застройки;</w:t>
            </w:r>
          </w:p>
          <w:p w:rsidR="00C31B80" w:rsidRPr="00C31B80" w:rsidRDefault="00C31B80" w:rsidP="00C31B8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31B80">
              <w:rPr>
                <w:rFonts w:ascii="PT Astra Serif" w:hAnsi="PT Astra Serif" w:cs="Times New Roman"/>
                <w:sz w:val="24"/>
                <w:szCs w:val="24"/>
              </w:rPr>
              <w:t>- для иных объектов капитального строительства - не подлежат установлению (определить проектной документацией);</w:t>
            </w:r>
          </w:p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31B80">
              <w:rPr>
                <w:rFonts w:ascii="PT Astra Serif" w:hAnsi="PT Astra Serif" w:cs="Times New Roman"/>
                <w:sz w:val="24"/>
                <w:szCs w:val="24"/>
              </w:rPr>
              <w:t>- максимальная высота ограждения, устанавливаемого на границе с соседним земельным участком – 1,8 м.;</w:t>
            </w:r>
          </w:p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31B80">
              <w:rPr>
                <w:rFonts w:ascii="PT Astra Serif" w:hAnsi="PT Astra Serif" w:cs="Times New Roman"/>
                <w:sz w:val="24"/>
                <w:szCs w:val="24"/>
              </w:rPr>
              <w:t>- максимальная высота прочих ограждений земельного участка, в том числе со стороны улицы – 1,7 м.;</w:t>
            </w:r>
          </w:p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31B80">
              <w:rPr>
                <w:rFonts w:ascii="PT Astra Serif" w:hAnsi="PT Astra Serif" w:cs="Times New Roman"/>
                <w:sz w:val="24"/>
                <w:szCs w:val="24"/>
              </w:rPr>
              <w:t>-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участка. Глухие ограждения допускаются со стороны улиц и проездов;</w:t>
            </w:r>
          </w:p>
          <w:p w:rsidR="00C31B80" w:rsidRPr="00C31B80" w:rsidRDefault="00C31B80" w:rsidP="00C31B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31B80">
              <w:rPr>
                <w:rFonts w:ascii="PT Astra Serif" w:hAnsi="PT Astra Serif" w:cs="Times New Roman"/>
                <w:sz w:val="24"/>
                <w:szCs w:val="24"/>
              </w:rPr>
              <w:t>-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      </w:r>
          </w:p>
        </w:tc>
      </w:tr>
    </w:tbl>
    <w:p w:rsidR="00C31B80" w:rsidRDefault="00C31B80" w:rsidP="00AF67D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EB5EC5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 w:rsidR="007C6789">
        <w:rPr>
          <w:rFonts w:ascii="PT Astra Serif" w:hAnsi="PT Astra Serif"/>
          <w:sz w:val="24"/>
          <w:szCs w:val="24"/>
        </w:rPr>
        <w:t xml:space="preserve">ого </w:t>
      </w:r>
      <w:r w:rsidRPr="00EB5EC5">
        <w:rPr>
          <w:rFonts w:ascii="PT Astra Serif" w:hAnsi="PT Astra Serif"/>
          <w:sz w:val="24"/>
          <w:szCs w:val="24"/>
        </w:rPr>
        <w:t>участк</w:t>
      </w:r>
      <w:r w:rsidR="007C6789">
        <w:rPr>
          <w:rFonts w:ascii="PT Astra Serif" w:hAnsi="PT Astra Serif"/>
          <w:sz w:val="24"/>
          <w:szCs w:val="24"/>
        </w:rPr>
        <w:t>а</w:t>
      </w:r>
      <w:r w:rsidR="00C31B80">
        <w:rPr>
          <w:rFonts w:ascii="PT Astra Serif" w:hAnsi="PT Astra Serif"/>
          <w:sz w:val="24"/>
          <w:szCs w:val="24"/>
        </w:rPr>
        <w:t xml:space="preserve"> в соответствии со сведениями Единого государственного реестра недвижимости отсутствуют. </w:t>
      </w: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5B6CF5">
        <w:rPr>
          <w:rFonts w:ascii="PT Astra Serif" w:hAnsi="PT Astra Serif"/>
          <w:sz w:val="24"/>
          <w:szCs w:val="24"/>
        </w:rPr>
        <w:t>Доступ к земельн</w:t>
      </w:r>
      <w:r w:rsidR="007C6789">
        <w:rPr>
          <w:rFonts w:ascii="PT Astra Serif" w:hAnsi="PT Astra Serif"/>
          <w:sz w:val="24"/>
          <w:szCs w:val="24"/>
        </w:rPr>
        <w:t>ому</w:t>
      </w:r>
      <w:r w:rsidRPr="005B6CF5">
        <w:rPr>
          <w:rFonts w:ascii="PT Astra Serif" w:hAnsi="PT Astra Serif"/>
          <w:sz w:val="24"/>
          <w:szCs w:val="24"/>
        </w:rPr>
        <w:t xml:space="preserve"> участк</w:t>
      </w:r>
      <w:r w:rsidR="007C6789">
        <w:rPr>
          <w:rFonts w:ascii="PT Astra Serif" w:hAnsi="PT Astra Serif"/>
          <w:sz w:val="24"/>
          <w:szCs w:val="24"/>
        </w:rPr>
        <w:t>у</w:t>
      </w:r>
      <w:r w:rsidRPr="005B6CF5">
        <w:rPr>
          <w:rFonts w:ascii="PT Astra Serif" w:hAnsi="PT Astra Serif"/>
          <w:sz w:val="24"/>
          <w:szCs w:val="24"/>
        </w:rPr>
        <w:t xml:space="preserve"> осуществляет</w:t>
      </w:r>
      <w:r w:rsidR="00BE6C89" w:rsidRPr="005B6CF5">
        <w:rPr>
          <w:rFonts w:ascii="PT Astra Serif" w:hAnsi="PT Astra Serif"/>
          <w:sz w:val="24"/>
          <w:szCs w:val="24"/>
        </w:rPr>
        <w:t>ся</w:t>
      </w:r>
      <w:r w:rsidRPr="005B6CF5">
        <w:rPr>
          <w:rFonts w:ascii="PT Astra Serif" w:hAnsi="PT Astra Serif"/>
          <w:sz w:val="24"/>
          <w:szCs w:val="24"/>
        </w:rPr>
        <w:t xml:space="preserve"> посредством </w:t>
      </w:r>
      <w:r w:rsidR="00BE6C89" w:rsidRPr="005B6CF5">
        <w:rPr>
          <w:rFonts w:ascii="PT Astra Serif" w:hAnsi="PT Astra Serif"/>
          <w:sz w:val="24"/>
          <w:szCs w:val="24"/>
        </w:rPr>
        <w:t>смежн</w:t>
      </w:r>
      <w:r w:rsidR="005B6CF5">
        <w:rPr>
          <w:rFonts w:ascii="PT Astra Serif" w:hAnsi="PT Astra Serif"/>
          <w:sz w:val="24"/>
          <w:szCs w:val="24"/>
        </w:rPr>
        <w:t>ых</w:t>
      </w:r>
      <w:r w:rsidR="00BE6C89" w:rsidRPr="005B6CF5">
        <w:rPr>
          <w:rFonts w:ascii="PT Astra Serif" w:hAnsi="PT Astra Serif"/>
          <w:sz w:val="24"/>
          <w:szCs w:val="24"/>
        </w:rPr>
        <w:t xml:space="preserve"> земельн</w:t>
      </w:r>
      <w:r w:rsidR="005B6CF5">
        <w:rPr>
          <w:rFonts w:ascii="PT Astra Serif" w:hAnsi="PT Astra Serif"/>
          <w:sz w:val="24"/>
          <w:szCs w:val="24"/>
        </w:rPr>
        <w:t>ых</w:t>
      </w:r>
      <w:r w:rsidR="00BE6C89" w:rsidRPr="005B6CF5">
        <w:rPr>
          <w:rFonts w:ascii="PT Astra Serif" w:hAnsi="PT Astra Serif"/>
          <w:sz w:val="24"/>
          <w:szCs w:val="24"/>
        </w:rPr>
        <w:t xml:space="preserve"> участк</w:t>
      </w:r>
      <w:r w:rsidR="005B6CF5">
        <w:rPr>
          <w:rFonts w:ascii="PT Astra Serif" w:hAnsi="PT Astra Serif"/>
          <w:sz w:val="24"/>
          <w:szCs w:val="24"/>
        </w:rPr>
        <w:t>ов</w:t>
      </w:r>
      <w:r w:rsidR="00BE6C89" w:rsidRPr="005B6CF5">
        <w:rPr>
          <w:rFonts w:ascii="PT Astra Serif" w:hAnsi="PT Astra Serif"/>
          <w:sz w:val="24"/>
          <w:szCs w:val="24"/>
        </w:rPr>
        <w:t xml:space="preserve"> общего пользования</w:t>
      </w:r>
      <w:r w:rsidR="005B6CF5">
        <w:rPr>
          <w:rFonts w:ascii="PT Astra Serif" w:hAnsi="PT Astra Serif"/>
          <w:sz w:val="24"/>
          <w:szCs w:val="24"/>
        </w:rPr>
        <w:t xml:space="preserve"> с</w:t>
      </w:r>
      <w:proofErr w:type="gramStart"/>
      <w:r w:rsidR="005B6CF5">
        <w:rPr>
          <w:rFonts w:ascii="PT Astra Serif" w:hAnsi="PT Astra Serif"/>
          <w:sz w:val="24"/>
          <w:szCs w:val="24"/>
        </w:rPr>
        <w:t xml:space="preserve"> К</w:t>
      </w:r>
      <w:proofErr w:type="gramEnd"/>
      <w:r w:rsidR="005B6CF5">
        <w:rPr>
          <w:rFonts w:ascii="PT Astra Serif" w:hAnsi="PT Astra Serif"/>
          <w:sz w:val="24"/>
          <w:szCs w:val="24"/>
        </w:rPr>
        <w:t>№</w:t>
      </w:r>
      <w:r w:rsidR="00C31B80">
        <w:rPr>
          <w:rFonts w:ascii="PT Astra Serif" w:hAnsi="PT Astra Serif"/>
          <w:sz w:val="24"/>
          <w:szCs w:val="24"/>
        </w:rPr>
        <w:t>№</w:t>
      </w:r>
      <w:r w:rsidR="005B6CF5">
        <w:rPr>
          <w:rFonts w:ascii="PT Astra Serif" w:hAnsi="PT Astra Serif"/>
          <w:sz w:val="24"/>
          <w:szCs w:val="24"/>
        </w:rPr>
        <w:t>71:09:</w:t>
      </w:r>
      <w:r w:rsidR="00A424E0">
        <w:rPr>
          <w:rFonts w:ascii="PT Astra Serif" w:hAnsi="PT Astra Serif"/>
          <w:sz w:val="24"/>
          <w:szCs w:val="24"/>
        </w:rPr>
        <w:t>020101:6108, 71:09:020101:7516</w:t>
      </w:r>
      <w:r w:rsidR="00BE6C89" w:rsidRPr="005B6CF5">
        <w:rPr>
          <w:rFonts w:ascii="PT Astra Serif" w:hAnsi="PT Astra Serif"/>
          <w:sz w:val="24"/>
          <w:szCs w:val="24"/>
        </w:rPr>
        <w:t>,</w:t>
      </w:r>
      <w:r w:rsidR="00A424E0">
        <w:rPr>
          <w:rFonts w:ascii="PT Astra Serif" w:hAnsi="PT Astra Serif"/>
          <w:sz w:val="24"/>
          <w:szCs w:val="24"/>
        </w:rPr>
        <w:t xml:space="preserve"> 71:09:020101:9880, 71:09:020101:9881, 71:09:020101:9882, 71:09:020101:9883, 71:09:020101:9884, 71:09:020101:9885, 71:09:020101:218</w:t>
      </w:r>
      <w:r w:rsidR="00BE6C89" w:rsidRPr="005B6CF5">
        <w:rPr>
          <w:rFonts w:ascii="PT Astra Serif" w:hAnsi="PT Astra Serif"/>
          <w:sz w:val="24"/>
          <w:szCs w:val="24"/>
        </w:rPr>
        <w:t xml:space="preserve"> с учетом соглас</w:t>
      </w:r>
      <w:r w:rsidR="005B6CF5">
        <w:rPr>
          <w:rFonts w:ascii="PT Astra Serif" w:hAnsi="PT Astra Serif"/>
          <w:sz w:val="24"/>
          <w:szCs w:val="24"/>
        </w:rPr>
        <w:t xml:space="preserve">ия </w:t>
      </w:r>
      <w:r w:rsidR="00BE6C89" w:rsidRPr="005B6CF5">
        <w:rPr>
          <w:rFonts w:ascii="PT Astra Serif" w:hAnsi="PT Astra Serif"/>
          <w:sz w:val="24"/>
          <w:szCs w:val="24"/>
        </w:rPr>
        <w:t>собственника на осуществление такого доступа</w:t>
      </w:r>
      <w:r w:rsidR="005B6CF5">
        <w:rPr>
          <w:rFonts w:ascii="PT Astra Serif" w:hAnsi="PT Astra Serif"/>
          <w:sz w:val="24"/>
          <w:szCs w:val="24"/>
        </w:rPr>
        <w:t xml:space="preserve">, а также </w:t>
      </w:r>
      <w:r w:rsidR="005B6CF5" w:rsidRPr="005B6CF5">
        <w:rPr>
          <w:rFonts w:ascii="PT Astra Serif" w:hAnsi="PT Astra Serif"/>
          <w:sz w:val="24"/>
          <w:szCs w:val="24"/>
        </w:rPr>
        <w:t xml:space="preserve">земель </w:t>
      </w:r>
      <w:r w:rsidR="00C31B80">
        <w:rPr>
          <w:rFonts w:ascii="PT Astra Serif" w:hAnsi="PT Astra Serif"/>
          <w:sz w:val="24"/>
          <w:szCs w:val="24"/>
        </w:rPr>
        <w:t>неразграниченной (государственной) собственности</w:t>
      </w:r>
      <w:r w:rsidR="005B6CF5">
        <w:rPr>
          <w:rFonts w:ascii="PT Astra Serif" w:hAnsi="PT Astra Serif"/>
          <w:sz w:val="24"/>
          <w:szCs w:val="24"/>
        </w:rPr>
        <w:t>.</w:t>
      </w: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lastRenderedPageBreak/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AF67DF" w:rsidRDefault="00AF67DF" w:rsidP="00AF67DF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>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10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1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F5066"/>
    <w:multiLevelType w:val="hybridMultilevel"/>
    <w:tmpl w:val="6CF6B880"/>
    <w:lvl w:ilvl="0" w:tplc="A4000DAC">
      <w:start w:val="1"/>
      <w:numFmt w:val="decimal"/>
      <w:pStyle w:val="4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11039"/>
    <w:multiLevelType w:val="hybridMultilevel"/>
    <w:tmpl w:val="ECC2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4722C"/>
    <w:rsid w:val="00052421"/>
    <w:rsid w:val="00062EC0"/>
    <w:rsid w:val="000648F9"/>
    <w:rsid w:val="00073274"/>
    <w:rsid w:val="000A141A"/>
    <w:rsid w:val="000B1A83"/>
    <w:rsid w:val="000B3BA0"/>
    <w:rsid w:val="000E4142"/>
    <w:rsid w:val="000F02D8"/>
    <w:rsid w:val="00113B35"/>
    <w:rsid w:val="00120A43"/>
    <w:rsid w:val="00146E2F"/>
    <w:rsid w:val="00156D8A"/>
    <w:rsid w:val="001A270B"/>
    <w:rsid w:val="001A6AA7"/>
    <w:rsid w:val="001B5EF1"/>
    <w:rsid w:val="001C0CC8"/>
    <w:rsid w:val="001C2666"/>
    <w:rsid w:val="001C6705"/>
    <w:rsid w:val="001C7B4D"/>
    <w:rsid w:val="001D6AD3"/>
    <w:rsid w:val="001E6FD2"/>
    <w:rsid w:val="001F52AE"/>
    <w:rsid w:val="00202C4B"/>
    <w:rsid w:val="00203519"/>
    <w:rsid w:val="00212F94"/>
    <w:rsid w:val="0023153F"/>
    <w:rsid w:val="00235F31"/>
    <w:rsid w:val="00241F5A"/>
    <w:rsid w:val="00271BD3"/>
    <w:rsid w:val="0027207D"/>
    <w:rsid w:val="00274DEF"/>
    <w:rsid w:val="00287716"/>
    <w:rsid w:val="00294E71"/>
    <w:rsid w:val="002A1294"/>
    <w:rsid w:val="002A2979"/>
    <w:rsid w:val="002A6523"/>
    <w:rsid w:val="002C3429"/>
    <w:rsid w:val="002D292C"/>
    <w:rsid w:val="002D7C05"/>
    <w:rsid w:val="002E69DC"/>
    <w:rsid w:val="002F7061"/>
    <w:rsid w:val="0030201E"/>
    <w:rsid w:val="00317605"/>
    <w:rsid w:val="00325CF7"/>
    <w:rsid w:val="003414E7"/>
    <w:rsid w:val="003461F2"/>
    <w:rsid w:val="00390C1B"/>
    <w:rsid w:val="003920C6"/>
    <w:rsid w:val="00395026"/>
    <w:rsid w:val="00395AF5"/>
    <w:rsid w:val="003A28CE"/>
    <w:rsid w:val="003B3664"/>
    <w:rsid w:val="003C298D"/>
    <w:rsid w:val="003C3CDC"/>
    <w:rsid w:val="003D301A"/>
    <w:rsid w:val="003E1907"/>
    <w:rsid w:val="003E4058"/>
    <w:rsid w:val="003E516D"/>
    <w:rsid w:val="003F1D6D"/>
    <w:rsid w:val="00400EFB"/>
    <w:rsid w:val="004260A2"/>
    <w:rsid w:val="00433595"/>
    <w:rsid w:val="004667F9"/>
    <w:rsid w:val="00471E3A"/>
    <w:rsid w:val="004B1F76"/>
    <w:rsid w:val="004D2C9C"/>
    <w:rsid w:val="004D3820"/>
    <w:rsid w:val="004D6E53"/>
    <w:rsid w:val="004E54B7"/>
    <w:rsid w:val="005377BE"/>
    <w:rsid w:val="0054237F"/>
    <w:rsid w:val="005708D5"/>
    <w:rsid w:val="00573938"/>
    <w:rsid w:val="005777D6"/>
    <w:rsid w:val="005857DA"/>
    <w:rsid w:val="005875A5"/>
    <w:rsid w:val="005944A0"/>
    <w:rsid w:val="005A14EA"/>
    <w:rsid w:val="005B1C37"/>
    <w:rsid w:val="005B6CF5"/>
    <w:rsid w:val="005F3237"/>
    <w:rsid w:val="00630531"/>
    <w:rsid w:val="0063442E"/>
    <w:rsid w:val="0064633D"/>
    <w:rsid w:val="00651741"/>
    <w:rsid w:val="00653CE6"/>
    <w:rsid w:val="0066417F"/>
    <w:rsid w:val="00690AAE"/>
    <w:rsid w:val="006E2B18"/>
    <w:rsid w:val="0070567B"/>
    <w:rsid w:val="00712D82"/>
    <w:rsid w:val="007374BA"/>
    <w:rsid w:val="007436EC"/>
    <w:rsid w:val="00747B42"/>
    <w:rsid w:val="007643BF"/>
    <w:rsid w:val="00766FE0"/>
    <w:rsid w:val="007748E5"/>
    <w:rsid w:val="007873E4"/>
    <w:rsid w:val="00790754"/>
    <w:rsid w:val="00794095"/>
    <w:rsid w:val="007A6B74"/>
    <w:rsid w:val="007C4850"/>
    <w:rsid w:val="007C6789"/>
    <w:rsid w:val="007E4F10"/>
    <w:rsid w:val="007E5A74"/>
    <w:rsid w:val="007E5EB1"/>
    <w:rsid w:val="00804B8E"/>
    <w:rsid w:val="00812C54"/>
    <w:rsid w:val="00817DCA"/>
    <w:rsid w:val="008219B5"/>
    <w:rsid w:val="0082787E"/>
    <w:rsid w:val="00832120"/>
    <w:rsid w:val="00840C3F"/>
    <w:rsid w:val="008453F6"/>
    <w:rsid w:val="0085550C"/>
    <w:rsid w:val="00860312"/>
    <w:rsid w:val="0086723E"/>
    <w:rsid w:val="0087097D"/>
    <w:rsid w:val="00891D50"/>
    <w:rsid w:val="008C67BE"/>
    <w:rsid w:val="008D045A"/>
    <w:rsid w:val="008D21E5"/>
    <w:rsid w:val="008D4B4D"/>
    <w:rsid w:val="008E4C3D"/>
    <w:rsid w:val="00904399"/>
    <w:rsid w:val="0091219C"/>
    <w:rsid w:val="00936B3E"/>
    <w:rsid w:val="0094724D"/>
    <w:rsid w:val="00976FCD"/>
    <w:rsid w:val="00997CD5"/>
    <w:rsid w:val="009A0C25"/>
    <w:rsid w:val="009B14D0"/>
    <w:rsid w:val="009E7646"/>
    <w:rsid w:val="00A424E0"/>
    <w:rsid w:val="00A45DBB"/>
    <w:rsid w:val="00A6326C"/>
    <w:rsid w:val="00A87157"/>
    <w:rsid w:val="00A91AF6"/>
    <w:rsid w:val="00A93F99"/>
    <w:rsid w:val="00A9746B"/>
    <w:rsid w:val="00AA7835"/>
    <w:rsid w:val="00AB31D0"/>
    <w:rsid w:val="00AC5ABD"/>
    <w:rsid w:val="00AD1FDC"/>
    <w:rsid w:val="00AE0463"/>
    <w:rsid w:val="00AE1DFE"/>
    <w:rsid w:val="00AF67DF"/>
    <w:rsid w:val="00B40057"/>
    <w:rsid w:val="00B535B2"/>
    <w:rsid w:val="00B56634"/>
    <w:rsid w:val="00B625F9"/>
    <w:rsid w:val="00B75619"/>
    <w:rsid w:val="00BA1A62"/>
    <w:rsid w:val="00BA27A9"/>
    <w:rsid w:val="00BB0B2B"/>
    <w:rsid w:val="00BC5C0D"/>
    <w:rsid w:val="00BE2DA6"/>
    <w:rsid w:val="00BE6C89"/>
    <w:rsid w:val="00BF12F7"/>
    <w:rsid w:val="00C0082E"/>
    <w:rsid w:val="00C12AC2"/>
    <w:rsid w:val="00C14DB2"/>
    <w:rsid w:val="00C2176D"/>
    <w:rsid w:val="00C24CEF"/>
    <w:rsid w:val="00C31B80"/>
    <w:rsid w:val="00C323DB"/>
    <w:rsid w:val="00C534EC"/>
    <w:rsid w:val="00C75C1E"/>
    <w:rsid w:val="00C771F6"/>
    <w:rsid w:val="00C80D47"/>
    <w:rsid w:val="00CA1FB0"/>
    <w:rsid w:val="00CB652F"/>
    <w:rsid w:val="00CE0D89"/>
    <w:rsid w:val="00CE4980"/>
    <w:rsid w:val="00CF0E19"/>
    <w:rsid w:val="00D06BF7"/>
    <w:rsid w:val="00D06BFD"/>
    <w:rsid w:val="00D10C35"/>
    <w:rsid w:val="00D16128"/>
    <w:rsid w:val="00D21B8E"/>
    <w:rsid w:val="00D27EBA"/>
    <w:rsid w:val="00D41CC1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02B5"/>
    <w:rsid w:val="00E23FE4"/>
    <w:rsid w:val="00E25D90"/>
    <w:rsid w:val="00E308E3"/>
    <w:rsid w:val="00E4319A"/>
    <w:rsid w:val="00E46B36"/>
    <w:rsid w:val="00E5184A"/>
    <w:rsid w:val="00E64B9C"/>
    <w:rsid w:val="00EA0BF9"/>
    <w:rsid w:val="00EB5EC5"/>
    <w:rsid w:val="00EB7231"/>
    <w:rsid w:val="00EC2414"/>
    <w:rsid w:val="00EE0605"/>
    <w:rsid w:val="00EE0CBE"/>
    <w:rsid w:val="00EE7332"/>
    <w:rsid w:val="00EF7124"/>
    <w:rsid w:val="00EF79E7"/>
    <w:rsid w:val="00F04064"/>
    <w:rsid w:val="00F05060"/>
    <w:rsid w:val="00F2168D"/>
    <w:rsid w:val="00F23260"/>
    <w:rsid w:val="00F2729A"/>
    <w:rsid w:val="00F32213"/>
    <w:rsid w:val="00F71BAA"/>
    <w:rsid w:val="00F73EFE"/>
    <w:rsid w:val="00F812F0"/>
    <w:rsid w:val="00F820BF"/>
    <w:rsid w:val="00FA12C8"/>
    <w:rsid w:val="00FA7E00"/>
    <w:rsid w:val="00FC18BF"/>
    <w:rsid w:val="00FD506F"/>
    <w:rsid w:val="00FE5E2E"/>
    <w:rsid w:val="00FF5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paragraph" w:styleId="4">
    <w:name w:val="heading 4"/>
    <w:basedOn w:val="a"/>
    <w:next w:val="a"/>
    <w:link w:val="40"/>
    <w:autoRedefine/>
    <w:qFormat/>
    <w:rsid w:val="00C31B80"/>
    <w:pPr>
      <w:keepNext/>
      <w:numPr>
        <w:numId w:val="1"/>
      </w:numPr>
      <w:spacing w:before="240" w:after="24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F272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C31B80"/>
    <w:rPr>
      <w:rFonts w:ascii="Times New Roman" w:eastAsia="Times New Roman" w:hAnsi="Times New Roman" w:cs="Times New Roman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ased_mo_zaoksk@tularegion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izo.zaoksk@tularegion.org" TargetMode="External"/><Relationship Id="rId11" Type="http://schemas.openxmlformats.org/officeDocument/2006/relationships/hyperlink" Target="http://utp.sberbank-as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07F5-1E2E-4FF0-BA2C-141DA6B4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10</Pages>
  <Words>4195</Words>
  <Characters>23912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174</cp:revision>
  <dcterms:created xsi:type="dcterms:W3CDTF">2023-05-19T11:07:00Z</dcterms:created>
  <dcterms:modified xsi:type="dcterms:W3CDTF">2025-01-20T08:58:00Z</dcterms:modified>
</cp:coreProperties>
</file>