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E368CB">
        <w:rPr>
          <w:rFonts w:ascii="PT Astra Serif" w:hAnsi="PT Astra Serif" w:cs="Times New Roman CYR"/>
          <w:b/>
          <w:spacing w:val="-4"/>
          <w:sz w:val="24"/>
          <w:szCs w:val="24"/>
        </w:rPr>
        <w:t>07 ноября 2024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E368CB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E368CB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E368CB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E368CB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E368CB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E368CB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E368CB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E368CB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E368CB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E368CB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E368CB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E368CB">
        <w:rPr>
          <w:rFonts w:ascii="PT Astra Serif" w:hAnsi="PT Astra Serif"/>
          <w:sz w:val="24"/>
          <w:szCs w:val="24"/>
        </w:rPr>
        <w:t>05.09.2024</w:t>
      </w:r>
      <w:r w:rsidRPr="007C1AB4">
        <w:rPr>
          <w:rFonts w:ascii="PT Astra Serif" w:hAnsi="PT Astra Serif"/>
          <w:sz w:val="24"/>
          <w:szCs w:val="24"/>
        </w:rPr>
        <w:t xml:space="preserve"> № </w:t>
      </w:r>
      <w:r w:rsidR="00E368CB">
        <w:rPr>
          <w:rFonts w:ascii="PT Astra Serif" w:hAnsi="PT Astra Serif"/>
          <w:sz w:val="24"/>
          <w:szCs w:val="24"/>
        </w:rPr>
        <w:t>855</w:t>
      </w:r>
      <w:r w:rsidRPr="007C1AB4">
        <w:rPr>
          <w:rFonts w:ascii="PT Astra Serif" w:hAnsi="PT Astra Serif"/>
          <w:sz w:val="24"/>
          <w:szCs w:val="24"/>
        </w:rPr>
        <w:t xml:space="preserve"> «О проведен</w:t>
      </w:r>
      <w:proofErr w:type="gramStart"/>
      <w:r w:rsidRPr="007C1AB4">
        <w:rPr>
          <w:rFonts w:ascii="PT Astra Serif" w:hAnsi="PT Astra Serif"/>
          <w:sz w:val="24"/>
          <w:szCs w:val="24"/>
        </w:rPr>
        <w:t>ии ау</w:t>
      </w:r>
      <w:proofErr w:type="gramEnd"/>
      <w:r w:rsidRPr="007C1AB4">
        <w:rPr>
          <w:rFonts w:ascii="PT Astra Serif" w:hAnsi="PT Astra Serif"/>
          <w:sz w:val="24"/>
          <w:szCs w:val="24"/>
        </w:rPr>
        <w:t xml:space="preserve">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435835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E368CB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E368CB">
        <w:rPr>
          <w:rFonts w:ascii="PT Astra Serif" w:hAnsi="PT Astra Serif"/>
          <w:bCs/>
          <w:spacing w:val="-6"/>
          <w:sz w:val="24"/>
          <w:szCs w:val="24"/>
        </w:rPr>
        <w:t>03 октября 2024 года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с </w:t>
      </w:r>
      <w:r w:rsidR="008E2E6D">
        <w:rPr>
          <w:rFonts w:ascii="PT Astra Serif" w:hAnsi="PT Astra Serif"/>
          <w:bCs/>
          <w:spacing w:val="-6"/>
          <w:sz w:val="24"/>
          <w:szCs w:val="24"/>
        </w:rPr>
        <w:t>13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E368CB">
        <w:rPr>
          <w:rFonts w:ascii="PT Astra Serif" w:hAnsi="PT Astra Serif"/>
          <w:bCs/>
          <w:spacing w:val="-6"/>
          <w:sz w:val="24"/>
          <w:szCs w:val="24"/>
        </w:rPr>
        <w:t>05 ноября 2024 г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E368CB">
        <w:rPr>
          <w:rFonts w:ascii="PT Astra Serif" w:hAnsi="PT Astra Serif"/>
          <w:bCs/>
          <w:spacing w:val="-6"/>
          <w:sz w:val="24"/>
          <w:szCs w:val="24"/>
        </w:rPr>
        <w:t>06 ноября 2024 г</w:t>
      </w:r>
      <w:r w:rsidRPr="00FA12C8">
        <w:rPr>
          <w:rFonts w:ascii="PT Astra Serif" w:hAnsi="PT Astra Serif"/>
          <w:spacing w:val="-6"/>
          <w:sz w:val="24"/>
          <w:szCs w:val="24"/>
        </w:rPr>
        <w:t>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E368CB">
        <w:rPr>
          <w:rFonts w:ascii="PT Astra Serif" w:hAnsi="PT Astra Serif"/>
          <w:bCs/>
          <w:spacing w:val="-6"/>
          <w:sz w:val="24"/>
          <w:szCs w:val="24"/>
        </w:rPr>
        <w:t>07 ноября 2024 г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5559EE" w:rsidRDefault="002A1294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63191" w:rsidRPr="00F63191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E368CB">
        <w:rPr>
          <w:rFonts w:ascii="PT Astra Serif" w:hAnsi="PT Astra Serif"/>
          <w:bCs/>
          <w:spacing w:val="-6"/>
          <w:sz w:val="24"/>
          <w:szCs w:val="24"/>
        </w:rPr>
        <w:t>07 ноября 2024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 xml:space="preserve"> г.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размере </w:t>
      </w:r>
      <w:r w:rsidR="00E368CB">
        <w:rPr>
          <w:rFonts w:ascii="PT Astra Serif" w:hAnsi="PT Astra Serif"/>
          <w:sz w:val="24"/>
          <w:szCs w:val="24"/>
        </w:rPr>
        <w:t>арендной платы.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3E516D" w:rsidRDefault="002A1294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E368CB">
        <w:rPr>
          <w:rFonts w:ascii="PT Astra Serif" w:hAnsi="PT Astra Serif" w:cs="Arial"/>
          <w:b/>
          <w:sz w:val="24"/>
          <w:szCs w:val="24"/>
        </w:rPr>
        <w:t>020101:10145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E368CB">
        <w:rPr>
          <w:rFonts w:ascii="PT Astra Serif" w:hAnsi="PT Astra Serif"/>
          <w:b/>
          <w:sz w:val="24"/>
          <w:szCs w:val="24"/>
        </w:rPr>
        <w:t>323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 w:rsidR="00E62FAC">
        <w:rPr>
          <w:rFonts w:ascii="PT Astra Serif" w:hAnsi="PT Astra Serif" w:cs="Calibri"/>
          <w:b/>
          <w:sz w:val="24"/>
          <w:szCs w:val="24"/>
          <w:shd w:val="clear" w:color="auto" w:fill="FFFFFF"/>
        </w:rPr>
        <w:t>магазины)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73155D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73155D">
        <w:rPr>
          <w:rFonts w:ascii="PT Astra Serif" w:hAnsi="PT Astra Serif"/>
          <w:b/>
          <w:sz w:val="24"/>
          <w:szCs w:val="24"/>
        </w:rPr>
        <w:t xml:space="preserve"> </w:t>
      </w:r>
      <w:r w:rsidR="00E368CB">
        <w:rPr>
          <w:rFonts w:ascii="PT Astra Serif" w:hAnsi="PT Astra Serif" w:cs="Arial"/>
          <w:b/>
          <w:sz w:val="24"/>
          <w:szCs w:val="24"/>
          <w:lang w:eastAsia="zh-CN"/>
        </w:rPr>
        <w:t xml:space="preserve">д. </w:t>
      </w:r>
      <w:proofErr w:type="spellStart"/>
      <w:r w:rsidR="00E368CB">
        <w:rPr>
          <w:rFonts w:ascii="PT Astra Serif" w:hAnsi="PT Astra Serif" w:cs="Arial"/>
          <w:b/>
          <w:sz w:val="24"/>
          <w:szCs w:val="24"/>
          <w:lang w:eastAsia="zh-CN"/>
        </w:rPr>
        <w:t>Азаровка</w:t>
      </w:r>
      <w:proofErr w:type="spellEnd"/>
      <w:r w:rsidR="00E368CB">
        <w:rPr>
          <w:rFonts w:ascii="PT Astra Serif" w:hAnsi="PT Astra Serif" w:cs="Arial"/>
          <w:b/>
          <w:sz w:val="24"/>
          <w:szCs w:val="24"/>
          <w:lang w:eastAsia="zh-CN"/>
        </w:rPr>
        <w:t>, ул. Родниковая</w:t>
      </w:r>
      <w:r w:rsidR="0073155D">
        <w:rPr>
          <w:rFonts w:ascii="PT Astra Serif" w:hAnsi="PT Astra Serif" w:cs="Arial"/>
          <w:b/>
          <w:sz w:val="24"/>
          <w:szCs w:val="24"/>
          <w:lang w:eastAsia="zh-CN"/>
        </w:rPr>
        <w:t>,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являющегося </w:t>
      </w:r>
      <w:r w:rsidR="0050129B" w:rsidRPr="0050129B">
        <w:rPr>
          <w:rFonts w:ascii="PT Astra Serif" w:eastAsia="Times New Roman" w:hAnsi="PT Astra Serif" w:cs="PT Astra Serif"/>
          <w:b/>
          <w:sz w:val="24"/>
          <w:szCs w:val="24"/>
          <w:lang w:eastAsia="zh-CN"/>
        </w:rPr>
        <w:t>собственностью муниципального образования Заокский район</w:t>
      </w:r>
      <w:r w:rsidRPr="0050129B">
        <w:rPr>
          <w:rFonts w:ascii="PT Astra Serif" w:hAnsi="PT Astra Serif"/>
          <w:b/>
          <w:sz w:val="24"/>
          <w:szCs w:val="24"/>
        </w:rPr>
        <w:t>.</w:t>
      </w:r>
      <w:bookmarkEnd w:id="0"/>
      <w:r w:rsidR="00E368CB" w:rsidRPr="0050129B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73155D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 xml:space="preserve">срок </w:t>
      </w:r>
      <w:r w:rsidR="00E368CB">
        <w:rPr>
          <w:rFonts w:ascii="PT Astra Serif" w:hAnsi="PT Astra Serif"/>
          <w:b/>
          <w:color w:val="1C1C1C"/>
          <w:sz w:val="24"/>
          <w:szCs w:val="24"/>
        </w:rPr>
        <w:t>1</w:t>
      </w:r>
      <w:r w:rsidR="003E516D" w:rsidRPr="00104D77">
        <w:rPr>
          <w:rFonts w:ascii="PT Astra Serif" w:hAnsi="PT Astra Serif"/>
          <w:b/>
          <w:color w:val="1C1C1C"/>
          <w:sz w:val="24"/>
          <w:szCs w:val="24"/>
        </w:rPr>
        <w:t>0 лет</w:t>
      </w:r>
      <w:r w:rsidR="003E516D" w:rsidRPr="00104D77">
        <w:rPr>
          <w:rFonts w:ascii="PT Astra Serif" w:hAnsi="PT Astra Serif"/>
          <w:b/>
          <w:sz w:val="24"/>
          <w:szCs w:val="24"/>
        </w:rPr>
        <w:t>.</w:t>
      </w:r>
    </w:p>
    <w:p w:rsidR="003E516D" w:rsidRPr="00D540E3" w:rsidRDefault="003E516D" w:rsidP="00AE0463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E368CB">
        <w:rPr>
          <w:rFonts w:ascii="PT Astra Serif" w:hAnsi="PT Astra Serif"/>
          <w:sz w:val="24"/>
          <w:szCs w:val="24"/>
        </w:rPr>
        <w:t>139100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73155D">
        <w:rPr>
          <w:rFonts w:ascii="PT Astra Serif" w:hAnsi="PT Astra Serif"/>
          <w:sz w:val="24"/>
          <w:szCs w:val="24"/>
        </w:rPr>
        <w:t xml:space="preserve">сто </w:t>
      </w:r>
      <w:r w:rsidR="00E368CB">
        <w:rPr>
          <w:rFonts w:ascii="PT Astra Serif" w:hAnsi="PT Astra Serif"/>
          <w:sz w:val="24"/>
          <w:szCs w:val="24"/>
        </w:rPr>
        <w:t>тридцать девять тысяч сто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E368CB">
        <w:rPr>
          <w:rFonts w:ascii="PT Astra Serif" w:hAnsi="PT Astra Serif"/>
          <w:sz w:val="24"/>
          <w:szCs w:val="24"/>
        </w:rPr>
        <w:t>4173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435835">
        <w:rPr>
          <w:rFonts w:ascii="PT Astra Serif" w:hAnsi="PT Astra Serif"/>
          <w:sz w:val="24"/>
          <w:szCs w:val="24"/>
        </w:rPr>
        <w:t xml:space="preserve">четыре тысячи </w:t>
      </w:r>
      <w:r w:rsidR="00E368CB">
        <w:rPr>
          <w:rFonts w:ascii="PT Astra Serif" w:hAnsi="PT Astra Serif"/>
          <w:sz w:val="24"/>
          <w:szCs w:val="24"/>
        </w:rPr>
        <w:t>сто семьдесят</w:t>
      </w:r>
      <w:r w:rsidR="00435835">
        <w:rPr>
          <w:rFonts w:ascii="PT Astra Serif" w:hAnsi="PT Astra Serif"/>
          <w:sz w:val="24"/>
          <w:szCs w:val="24"/>
        </w:rPr>
        <w:t xml:space="preserve"> три</w:t>
      </w:r>
      <w:r w:rsidRPr="007C1AB4">
        <w:rPr>
          <w:rFonts w:ascii="PT Astra Serif" w:hAnsi="PT Astra Serif"/>
          <w:sz w:val="24"/>
          <w:szCs w:val="24"/>
        </w:rPr>
        <w:t>) рубл</w:t>
      </w:r>
      <w:r w:rsidR="00E368CB">
        <w:rPr>
          <w:rFonts w:ascii="PT Astra Serif" w:hAnsi="PT Astra Serif"/>
          <w:sz w:val="24"/>
          <w:szCs w:val="24"/>
        </w:rPr>
        <w:t>я</w:t>
      </w:r>
      <w:r w:rsidRPr="007C1AB4">
        <w:rPr>
          <w:rFonts w:ascii="PT Astra Serif" w:hAnsi="PT Astra Serif"/>
          <w:sz w:val="24"/>
          <w:szCs w:val="24"/>
        </w:rPr>
        <w:t xml:space="preserve">. Сумма задатка – </w:t>
      </w:r>
      <w:r w:rsidR="00E368CB">
        <w:rPr>
          <w:rFonts w:ascii="PT Astra Serif" w:hAnsi="PT Astra Serif"/>
          <w:sz w:val="24"/>
          <w:szCs w:val="24"/>
        </w:rPr>
        <w:t>69550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E368CB">
        <w:rPr>
          <w:rFonts w:ascii="PT Astra Serif" w:hAnsi="PT Astra Serif"/>
          <w:sz w:val="24"/>
          <w:szCs w:val="24"/>
        </w:rPr>
        <w:t>шестьдесят девять тысяч пятьсот пятьдесят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435835" w:rsidRDefault="00B438F2" w:rsidP="0043583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lastRenderedPageBreak/>
        <w:t>Земельн</w:t>
      </w:r>
      <w:r>
        <w:rPr>
          <w:rFonts w:ascii="PT Astra Serif" w:hAnsi="PT Astra Serif"/>
          <w:sz w:val="24"/>
          <w:szCs w:val="24"/>
        </w:rPr>
        <w:t>ый участо</w:t>
      </w:r>
      <w:r w:rsidRPr="002167D3">
        <w:rPr>
          <w:rFonts w:ascii="PT Astra Serif" w:hAnsi="PT Astra Serif"/>
          <w:sz w:val="24"/>
          <w:szCs w:val="24"/>
        </w:rPr>
        <w:t xml:space="preserve">к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 xml:space="preserve">МО </w:t>
      </w:r>
      <w:proofErr w:type="spellStart"/>
      <w:r>
        <w:rPr>
          <w:rFonts w:ascii="PT Astra Serif" w:hAnsi="PT Astra Serif"/>
          <w:sz w:val="24"/>
          <w:szCs w:val="24"/>
        </w:rPr>
        <w:t>Малаховское</w:t>
      </w:r>
      <w:proofErr w:type="spellEnd"/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 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</w:t>
      </w:r>
      <w:r w:rsidRPr="00FF08E5">
        <w:rPr>
          <w:rFonts w:ascii="PT Astra Serif" w:hAnsi="PT Astra Serif"/>
          <w:sz w:val="24"/>
          <w:szCs w:val="24"/>
        </w:rPr>
        <w:t>от 09.11.2021 г. №1404</w:t>
      </w:r>
      <w:r>
        <w:rPr>
          <w:rFonts w:ascii="PT Astra Serif" w:hAnsi="PT Astra Serif"/>
          <w:sz w:val="24"/>
          <w:szCs w:val="24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sz w:val="24"/>
          <w:szCs w:val="24"/>
        </w:rPr>
        <w:t>Малаховское</w:t>
      </w:r>
      <w:proofErr w:type="spellEnd"/>
      <w:r>
        <w:rPr>
          <w:rFonts w:ascii="PT Astra Serif" w:hAnsi="PT Astra Serif"/>
          <w:sz w:val="24"/>
          <w:szCs w:val="24"/>
        </w:rPr>
        <w:t xml:space="preserve"> Заокского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 xml:space="preserve">входит в границы территориальной зоны </w:t>
      </w:r>
      <w:r w:rsidRPr="00B438F2">
        <w:rPr>
          <w:rFonts w:ascii="PT Astra Serif" w:hAnsi="PT Astra Serif"/>
          <w:sz w:val="24"/>
          <w:szCs w:val="24"/>
        </w:rPr>
        <w:t>О</w:t>
      </w:r>
      <w:proofErr w:type="gramStart"/>
      <w:r w:rsidRPr="00B438F2">
        <w:rPr>
          <w:rFonts w:ascii="PT Astra Serif" w:hAnsi="PT Astra Serif"/>
          <w:sz w:val="24"/>
          <w:szCs w:val="24"/>
        </w:rPr>
        <w:t>1</w:t>
      </w:r>
      <w:proofErr w:type="gramEnd"/>
      <w:r w:rsidRPr="00B438F2">
        <w:rPr>
          <w:rFonts w:ascii="PT Astra Serif" w:hAnsi="PT Astra Serif"/>
          <w:sz w:val="24"/>
          <w:szCs w:val="24"/>
        </w:rPr>
        <w:t xml:space="preserve"> - Многофункциональная общественно-деловая зона. </w:t>
      </w:r>
      <w:r w:rsidR="00435835"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 w:rsidR="00435835">
        <w:rPr>
          <w:rFonts w:ascii="PT Astra Serif" w:hAnsi="PT Astra Serif"/>
          <w:sz w:val="24"/>
          <w:szCs w:val="24"/>
        </w:rPr>
        <w:t>ым</w:t>
      </w:r>
      <w:r w:rsidR="00435835"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435835">
        <w:rPr>
          <w:rFonts w:ascii="PT Astra Serif" w:hAnsi="PT Astra Serif"/>
          <w:sz w:val="24"/>
          <w:szCs w:val="24"/>
        </w:rPr>
        <w:t>ем – «магазины» предусмотрено р</w:t>
      </w:r>
      <w:r w:rsidR="00435835" w:rsidRPr="00F05060">
        <w:rPr>
          <w:rFonts w:ascii="PT Astra Serif" w:hAnsi="PT Astra Serif"/>
          <w:sz w:val="24"/>
          <w:szCs w:val="24"/>
        </w:rPr>
        <w:t xml:space="preserve">азмещение объектов капитального строительства, предназначенных для продажи товаров, торговая площадь которых составляет до 5000 кв. м. </w:t>
      </w:r>
      <w:r w:rsidR="00435835"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 w:rsidR="00435835">
        <w:rPr>
          <w:rFonts w:ascii="PT Astra Serif" w:hAnsi="PT Astra Serif"/>
          <w:sz w:val="24"/>
          <w:szCs w:val="24"/>
        </w:rPr>
        <w:t>«</w:t>
      </w:r>
      <w:r>
        <w:rPr>
          <w:rFonts w:ascii="PT Astra Serif" w:hAnsi="PT Astra Serif"/>
          <w:sz w:val="24"/>
          <w:szCs w:val="24"/>
        </w:rPr>
        <w:t>О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 w:rsidR="00435835">
        <w:rPr>
          <w:rFonts w:ascii="PT Astra Serif" w:hAnsi="PT Astra Serif"/>
          <w:sz w:val="24"/>
          <w:szCs w:val="24"/>
        </w:rPr>
        <w:t>»</w:t>
      </w:r>
      <w:r w:rsidR="00435835"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435835" w:rsidRPr="00CC5BE5" w:rsidRDefault="00435835" w:rsidP="0043583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«магазины»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</w:t>
      </w:r>
      <w:r w:rsidR="00B438F2">
        <w:rPr>
          <w:rFonts w:ascii="PT Astra Serif" w:hAnsi="PT Astra Serif"/>
          <w:sz w:val="24"/>
          <w:szCs w:val="24"/>
        </w:rPr>
        <w:t>20</w:t>
      </w:r>
      <w:r>
        <w:rPr>
          <w:rFonts w:ascii="PT Astra Serif" w:hAnsi="PT Astra Serif"/>
          <w:sz w:val="24"/>
          <w:szCs w:val="24"/>
        </w:rPr>
        <w:t xml:space="preserve"> м;</w:t>
      </w:r>
      <w:proofErr w:type="gramEnd"/>
      <w:r>
        <w:rPr>
          <w:rFonts w:ascii="PT Astra Serif" w:hAnsi="PT Astra Serif"/>
          <w:sz w:val="24"/>
          <w:szCs w:val="24"/>
        </w:rPr>
        <w:t xml:space="preserve">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установлению;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F08E5">
        <w:rPr>
          <w:rFonts w:ascii="PT Astra Serif" w:hAnsi="PT Astra Serif"/>
          <w:sz w:val="24"/>
          <w:szCs w:val="24"/>
        </w:rPr>
        <w:t xml:space="preserve">- </w:t>
      </w:r>
      <w:r w:rsidRPr="00FF08E5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 w:rsidRPr="00FF08E5">
        <w:rPr>
          <w:rFonts w:ascii="PT Astra Serif" w:hAnsi="PT Astra Serif"/>
          <w:sz w:val="24"/>
          <w:szCs w:val="24"/>
        </w:rPr>
        <w:t xml:space="preserve">: </w:t>
      </w:r>
      <w:r w:rsidR="00FB00E2">
        <w:rPr>
          <w:rFonts w:ascii="PT Astra Serif" w:hAnsi="PT Astra Serif"/>
          <w:sz w:val="24"/>
          <w:szCs w:val="24"/>
        </w:rPr>
        <w:t>возможная точка подключения</w:t>
      </w:r>
      <w:r w:rsidRPr="00FF08E5">
        <w:rPr>
          <w:rFonts w:ascii="PT Astra Serif" w:hAnsi="PT Astra Serif"/>
          <w:sz w:val="24"/>
          <w:szCs w:val="24"/>
        </w:rPr>
        <w:t xml:space="preserve"> - ГРС «</w:t>
      </w:r>
      <w:r w:rsidR="00FB00E2">
        <w:rPr>
          <w:rFonts w:ascii="PT Astra Serif" w:hAnsi="PT Astra Serif"/>
          <w:sz w:val="24"/>
          <w:szCs w:val="24"/>
        </w:rPr>
        <w:t>Ясногорская ПФ</w:t>
      </w:r>
      <w:r w:rsidRPr="00FF08E5">
        <w:rPr>
          <w:rFonts w:ascii="PT Astra Serif" w:hAnsi="PT Astra Serif"/>
          <w:sz w:val="24"/>
          <w:szCs w:val="24"/>
        </w:rPr>
        <w:t xml:space="preserve">» ООО «Газпром </w:t>
      </w:r>
      <w:proofErr w:type="spellStart"/>
      <w:r w:rsidRPr="00FF08E5">
        <w:rPr>
          <w:rFonts w:ascii="PT Astra Serif" w:hAnsi="PT Astra Serif"/>
          <w:sz w:val="24"/>
          <w:szCs w:val="24"/>
        </w:rPr>
        <w:t>трансгаз</w:t>
      </w:r>
      <w:proofErr w:type="spellEnd"/>
      <w:r w:rsidRPr="00FF08E5">
        <w:rPr>
          <w:rFonts w:ascii="PT Astra Serif" w:hAnsi="PT Astra Serif"/>
          <w:sz w:val="24"/>
          <w:szCs w:val="24"/>
        </w:rPr>
        <w:t xml:space="preserve"> Москва»</w:t>
      </w:r>
      <w:r w:rsidR="00FB00E2">
        <w:rPr>
          <w:rFonts w:ascii="PT Astra Serif" w:hAnsi="PT Astra Serif"/>
          <w:sz w:val="24"/>
          <w:szCs w:val="24"/>
        </w:rPr>
        <w:t xml:space="preserve">. </w:t>
      </w:r>
      <w:r w:rsidRPr="00FF08E5">
        <w:rPr>
          <w:rFonts w:ascii="PT Astra Serif" w:hAnsi="PT Astra Serif"/>
          <w:sz w:val="24"/>
          <w:szCs w:val="24"/>
        </w:rPr>
        <w:t>Для подключения к сети газораспределения необходимо выполнение работ по перекладке участка газопровода высокого давления, на больший диаметр</w:t>
      </w:r>
      <w:r w:rsidR="00FF08E5" w:rsidRPr="00FF08E5">
        <w:rPr>
          <w:rFonts w:ascii="PT Astra Serif" w:hAnsi="PT Astra Serif"/>
          <w:sz w:val="24"/>
          <w:szCs w:val="24"/>
        </w:rPr>
        <w:t>.</w:t>
      </w:r>
      <w:r w:rsidRPr="00FF08E5">
        <w:rPr>
          <w:rFonts w:ascii="PT Astra Serif" w:hAnsi="PT Astra Serif"/>
          <w:sz w:val="24"/>
          <w:szCs w:val="24"/>
        </w:rPr>
        <w:t xml:space="preserve"> Техническая возможность подключения объекта к сети газораспределения допустима с учетом снятия вышеуказанных ограничений.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B438F2" w:rsidRDefault="00B438F2" w:rsidP="00B438F2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</w:t>
      </w:r>
      <w:proofErr w:type="spellEnd"/>
      <w:r>
        <w:rPr>
          <w:rFonts w:ascii="PT Astra Serif" w:hAnsi="PT Astra Serif"/>
          <w:sz w:val="24"/>
          <w:szCs w:val="24"/>
        </w:rPr>
        <w:t>.</w:t>
      </w:r>
      <w:proofErr w:type="spellStart"/>
      <w:r>
        <w:rPr>
          <w:rFonts w:ascii="PT Astra Serif" w:hAnsi="PT Astra Serif"/>
          <w:sz w:val="24"/>
          <w:szCs w:val="24"/>
          <w:lang w:val="en-US"/>
        </w:rPr>
        <w:t>ru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». В </w:t>
      </w:r>
      <w:r w:rsidRPr="000B72A8">
        <w:rPr>
          <w:rFonts w:ascii="PT Astra Serif" w:hAnsi="PT Astra Serif"/>
          <w:sz w:val="24"/>
          <w:szCs w:val="24"/>
        </w:rPr>
        <w:lastRenderedPageBreak/>
        <w:t>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28.11.2023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45/3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B438F2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D71066">
        <w:rPr>
          <w:rFonts w:ascii="PT Astra Serif" w:hAnsi="PT Astra Serif"/>
          <w:sz w:val="24"/>
          <w:szCs w:val="24"/>
        </w:rPr>
        <w:t xml:space="preserve"> согласно сведениям о характеристиках объекта недвижимости</w:t>
      </w:r>
      <w:r w:rsidR="00B438F2">
        <w:rPr>
          <w:rFonts w:ascii="PT Astra Serif" w:hAnsi="PT Astra Serif"/>
          <w:sz w:val="24"/>
          <w:szCs w:val="24"/>
        </w:rPr>
        <w:t>:</w:t>
      </w:r>
    </w:p>
    <w:p w:rsidR="00B438F2" w:rsidRPr="00B438F2" w:rsidRDefault="00B438F2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438F2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Земельный участок частично расположен в границе </w:t>
      </w:r>
      <w:proofErr w:type="spellStart"/>
      <w:r w:rsidRPr="00B438F2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водоохранной</w:t>
      </w:r>
      <w:proofErr w:type="spellEnd"/>
      <w:r w:rsidRPr="00B438F2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зоны р.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38F2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Скнига</w:t>
      </w:r>
      <w:proofErr w:type="spellEnd"/>
      <w:r w:rsidRPr="00B438F2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с притоками на территории Тульской области Заокского района (ЗОУИТ 71:09-6.22).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B438F2" w:rsidRDefault="00B438F2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Доступ к земельному участку осуществляется посредством земельного участка с К№71:09:020101:7535, находящемся в собственности</w:t>
      </w:r>
      <w:r w:rsidR="00D052A6">
        <w:rPr>
          <w:rFonts w:ascii="PT Astra Serif" w:hAnsi="PT Astra Serif"/>
          <w:sz w:val="24"/>
          <w:szCs w:val="24"/>
        </w:rPr>
        <w:t xml:space="preserve"> МО Заокский район</w:t>
      </w:r>
      <w:r>
        <w:rPr>
          <w:rFonts w:ascii="PT Astra Serif" w:hAnsi="PT Astra Serif"/>
          <w:sz w:val="24"/>
          <w:szCs w:val="24"/>
        </w:rPr>
        <w:t>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C24F3C" w:rsidRDefault="00C24F3C" w:rsidP="00C24F3C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Если в соответствии с федеральными законами, принимаемыми в соответствии  с ними нормативными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 результатам рассмотрения 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87452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1F451C"/>
    <w:rsid w:val="00212F94"/>
    <w:rsid w:val="00235F31"/>
    <w:rsid w:val="00274DEF"/>
    <w:rsid w:val="002A1294"/>
    <w:rsid w:val="0030201E"/>
    <w:rsid w:val="003414E7"/>
    <w:rsid w:val="00390C1B"/>
    <w:rsid w:val="00394AF2"/>
    <w:rsid w:val="003A28CE"/>
    <w:rsid w:val="003C298D"/>
    <w:rsid w:val="003C3CDC"/>
    <w:rsid w:val="003D301A"/>
    <w:rsid w:val="003E4058"/>
    <w:rsid w:val="003E516D"/>
    <w:rsid w:val="003F1D6D"/>
    <w:rsid w:val="003F3B3E"/>
    <w:rsid w:val="00400EFB"/>
    <w:rsid w:val="00435835"/>
    <w:rsid w:val="00471E3A"/>
    <w:rsid w:val="00475D37"/>
    <w:rsid w:val="0050129B"/>
    <w:rsid w:val="005303C2"/>
    <w:rsid w:val="005377BE"/>
    <w:rsid w:val="005559EE"/>
    <w:rsid w:val="005708D5"/>
    <w:rsid w:val="00573938"/>
    <w:rsid w:val="005944A0"/>
    <w:rsid w:val="005F3237"/>
    <w:rsid w:val="00630531"/>
    <w:rsid w:val="0063442E"/>
    <w:rsid w:val="0064633D"/>
    <w:rsid w:val="00651741"/>
    <w:rsid w:val="00653CE6"/>
    <w:rsid w:val="00690AAE"/>
    <w:rsid w:val="006C715A"/>
    <w:rsid w:val="006E2B18"/>
    <w:rsid w:val="0070567B"/>
    <w:rsid w:val="00712D82"/>
    <w:rsid w:val="0073155D"/>
    <w:rsid w:val="007436EC"/>
    <w:rsid w:val="007643BF"/>
    <w:rsid w:val="00766FE0"/>
    <w:rsid w:val="007873E4"/>
    <w:rsid w:val="00790754"/>
    <w:rsid w:val="00794095"/>
    <w:rsid w:val="007C1AB4"/>
    <w:rsid w:val="007C4850"/>
    <w:rsid w:val="007E4F10"/>
    <w:rsid w:val="007E5A74"/>
    <w:rsid w:val="00817DCA"/>
    <w:rsid w:val="0082787E"/>
    <w:rsid w:val="00832120"/>
    <w:rsid w:val="008D045A"/>
    <w:rsid w:val="008D21E5"/>
    <w:rsid w:val="008D703C"/>
    <w:rsid w:val="008E2E6D"/>
    <w:rsid w:val="008E4C3D"/>
    <w:rsid w:val="0091219C"/>
    <w:rsid w:val="0094724D"/>
    <w:rsid w:val="00976FCD"/>
    <w:rsid w:val="00982620"/>
    <w:rsid w:val="00997CD5"/>
    <w:rsid w:val="009B14D0"/>
    <w:rsid w:val="00A34E5F"/>
    <w:rsid w:val="00A91AF6"/>
    <w:rsid w:val="00A93F99"/>
    <w:rsid w:val="00A9746B"/>
    <w:rsid w:val="00AA7835"/>
    <w:rsid w:val="00AD1FDC"/>
    <w:rsid w:val="00AE0463"/>
    <w:rsid w:val="00AE4230"/>
    <w:rsid w:val="00B40AEA"/>
    <w:rsid w:val="00B438F2"/>
    <w:rsid w:val="00B535B2"/>
    <w:rsid w:val="00B65811"/>
    <w:rsid w:val="00BA1A62"/>
    <w:rsid w:val="00BA27A9"/>
    <w:rsid w:val="00BC5C0D"/>
    <w:rsid w:val="00BF12F7"/>
    <w:rsid w:val="00C0082E"/>
    <w:rsid w:val="00C14DB2"/>
    <w:rsid w:val="00C2176D"/>
    <w:rsid w:val="00C24CEF"/>
    <w:rsid w:val="00C24F3C"/>
    <w:rsid w:val="00C323DB"/>
    <w:rsid w:val="00C534EC"/>
    <w:rsid w:val="00C771F6"/>
    <w:rsid w:val="00C80D47"/>
    <w:rsid w:val="00CA1FB0"/>
    <w:rsid w:val="00CB652F"/>
    <w:rsid w:val="00CE0D89"/>
    <w:rsid w:val="00CE4980"/>
    <w:rsid w:val="00D052A6"/>
    <w:rsid w:val="00D06BF7"/>
    <w:rsid w:val="00D10C35"/>
    <w:rsid w:val="00D21B8E"/>
    <w:rsid w:val="00D22FA1"/>
    <w:rsid w:val="00D4579E"/>
    <w:rsid w:val="00D540E3"/>
    <w:rsid w:val="00D76031"/>
    <w:rsid w:val="00D836AA"/>
    <w:rsid w:val="00DB4DE2"/>
    <w:rsid w:val="00DD523B"/>
    <w:rsid w:val="00DF5C12"/>
    <w:rsid w:val="00E23FE4"/>
    <w:rsid w:val="00E308E3"/>
    <w:rsid w:val="00E368CB"/>
    <w:rsid w:val="00E37596"/>
    <w:rsid w:val="00E4319A"/>
    <w:rsid w:val="00E62FAC"/>
    <w:rsid w:val="00EE0CBE"/>
    <w:rsid w:val="00EF79E7"/>
    <w:rsid w:val="00F63191"/>
    <w:rsid w:val="00F71BAA"/>
    <w:rsid w:val="00F812F0"/>
    <w:rsid w:val="00F820BF"/>
    <w:rsid w:val="00F97A3D"/>
    <w:rsid w:val="00FA12C8"/>
    <w:rsid w:val="00FB00E2"/>
    <w:rsid w:val="00FC18BF"/>
    <w:rsid w:val="00FE5E2E"/>
    <w:rsid w:val="00FF0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4114</Words>
  <Characters>23454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114</cp:revision>
  <cp:lastPrinted>2023-10-26T11:02:00Z</cp:lastPrinted>
  <dcterms:created xsi:type="dcterms:W3CDTF">2023-05-19T11:07:00Z</dcterms:created>
  <dcterms:modified xsi:type="dcterms:W3CDTF">2024-10-03T08:37:00Z</dcterms:modified>
</cp:coreProperties>
</file>