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804B8E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517BCE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804B8E">
        <w:rPr>
          <w:rFonts w:ascii="PT Astra Serif" w:hAnsi="PT Astra Serif" w:cs="Times New Roman CYR"/>
          <w:b/>
          <w:spacing w:val="-4"/>
          <w:sz w:val="24"/>
          <w:szCs w:val="24"/>
        </w:rPr>
        <w:t>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804B8E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декабря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2023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ого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804B8E">
        <w:rPr>
          <w:rFonts w:ascii="PT Astra Serif" w:hAnsi="PT Astra Serif"/>
          <w:color w:val="000000" w:themeColor="text1"/>
          <w:sz w:val="24"/>
          <w:szCs w:val="24"/>
        </w:rPr>
        <w:t>16.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10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.2023 № </w:t>
      </w:r>
      <w:r w:rsidR="0085550C" w:rsidRPr="004B1F76">
        <w:rPr>
          <w:rFonts w:ascii="PT Astra Serif" w:hAnsi="PT Astra Serif"/>
          <w:color w:val="000000" w:themeColor="text1"/>
          <w:sz w:val="24"/>
          <w:szCs w:val="24"/>
        </w:rPr>
        <w:t>18</w:t>
      </w:r>
      <w:r w:rsidR="00804B8E">
        <w:rPr>
          <w:rFonts w:ascii="PT Astra Serif" w:hAnsi="PT Astra Serif"/>
          <w:color w:val="000000" w:themeColor="text1"/>
          <w:sz w:val="24"/>
          <w:szCs w:val="24"/>
        </w:rPr>
        <w:t>65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проведении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электронного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аукциона на право заключения договор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804B8E">
        <w:rPr>
          <w:rFonts w:ascii="PT Astra Serif" w:hAnsi="PT Astra Serif"/>
          <w:spacing w:val="-6"/>
          <w:sz w:val="24"/>
          <w:szCs w:val="24"/>
        </w:rPr>
        <w:t>27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октября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804B8E">
        <w:rPr>
          <w:rFonts w:ascii="PT Astra Serif" w:hAnsi="PT Astra Serif"/>
          <w:bCs/>
          <w:spacing w:val="-6"/>
          <w:sz w:val="24"/>
          <w:szCs w:val="24"/>
        </w:rPr>
        <w:t>29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 xml:space="preserve"> ноября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804B8E">
        <w:rPr>
          <w:rFonts w:ascii="PT Astra Serif" w:hAnsi="PT Astra Serif"/>
          <w:spacing w:val="-6"/>
          <w:sz w:val="24"/>
          <w:szCs w:val="24"/>
        </w:rPr>
        <w:t>30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ноября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2023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="00804B8E">
        <w:rPr>
          <w:rFonts w:ascii="PT Astra Serif" w:hAnsi="PT Astra Serif"/>
          <w:b/>
          <w:spacing w:val="-6"/>
          <w:sz w:val="24"/>
          <w:szCs w:val="24"/>
          <w:u w:val="single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517BCE">
        <w:rPr>
          <w:rFonts w:ascii="PT Astra Serif" w:hAnsi="PT Astra Serif"/>
          <w:bCs/>
          <w:spacing w:val="-6"/>
          <w:sz w:val="24"/>
          <w:szCs w:val="24"/>
        </w:rPr>
        <w:t>0</w:t>
      </w:r>
      <w:r w:rsidR="00804B8E">
        <w:rPr>
          <w:rFonts w:ascii="PT Astra Serif" w:hAnsi="PT Astra Serif"/>
          <w:bCs/>
          <w:spacing w:val="-6"/>
          <w:sz w:val="24"/>
          <w:szCs w:val="24"/>
        </w:rPr>
        <w:t>1 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804B8E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517BCE" w:rsidRPr="00517BCE">
        <w:rPr>
          <w:rFonts w:ascii="PT Astra Serif" w:hAnsi="PT Astra Serif"/>
          <w:spacing w:val="-6"/>
          <w:sz w:val="24"/>
          <w:szCs w:val="24"/>
        </w:rPr>
        <w:t>0</w:t>
      </w:r>
      <w:r w:rsidR="00804B8E">
        <w:rPr>
          <w:rFonts w:ascii="PT Astra Serif" w:hAnsi="PT Astra Serif"/>
          <w:bCs/>
          <w:spacing w:val="-6"/>
          <w:sz w:val="24"/>
          <w:szCs w:val="24"/>
        </w:rPr>
        <w:t>1 декабря</w:t>
      </w:r>
      <w:r w:rsidR="00804B8E"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</w:t>
      </w:r>
      <w:r w:rsidR="00804B8E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804B8E">
        <w:rPr>
          <w:rFonts w:ascii="PT Astra Serif" w:hAnsi="PT Astra Serif" w:cs="Arial"/>
          <w:b/>
          <w:sz w:val="24"/>
          <w:szCs w:val="24"/>
        </w:rPr>
        <w:t>010601:5684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4D2C9C">
        <w:rPr>
          <w:rFonts w:ascii="PT Astra Serif" w:hAnsi="PT Astra Serif" w:cs="Arial"/>
          <w:b/>
          <w:sz w:val="24"/>
          <w:szCs w:val="24"/>
        </w:rPr>
        <w:t>6</w:t>
      </w:r>
      <w:r w:rsidR="00804B8E">
        <w:rPr>
          <w:rFonts w:ascii="PT Astra Serif" w:hAnsi="PT Astra Serif" w:cs="Arial"/>
          <w:b/>
          <w:sz w:val="24"/>
          <w:szCs w:val="24"/>
        </w:rPr>
        <w:t>732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4D2C9C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832120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</w:t>
      </w:r>
      <w:r w:rsidR="00DE549F">
        <w:rPr>
          <w:rFonts w:ascii="PT Astra Serif" w:hAnsi="PT Astra Serif" w:cs="Calibri"/>
          <w:b/>
          <w:sz w:val="24"/>
          <w:szCs w:val="24"/>
          <w:shd w:val="clear" w:color="auto" w:fill="FFFFFF"/>
        </w:rPr>
        <w:t>е</w:t>
      </w:r>
      <w:r w:rsidR="00804B8E">
        <w:rPr>
          <w:rFonts w:ascii="PT Astra Serif" w:hAnsi="PT Astra Serif" w:cs="Calibri"/>
          <w:b/>
          <w:sz w:val="24"/>
          <w:szCs w:val="24"/>
          <w:shd w:val="clear" w:color="auto" w:fill="FFFFFF"/>
        </w:rPr>
        <w:t xml:space="preserve"> </w:t>
      </w:r>
      <w:r w:rsidR="00DE549F">
        <w:rPr>
          <w:rFonts w:ascii="PT Astra Serif" w:hAnsi="PT Astra Serif" w:cs="Calibri"/>
          <w:b/>
          <w:sz w:val="24"/>
          <w:szCs w:val="24"/>
          <w:shd w:val="clear" w:color="auto" w:fill="FFFFFF"/>
        </w:rPr>
        <w:t>огородничества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DE549F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804B8E">
        <w:rPr>
          <w:rFonts w:ascii="PT Astra Serif" w:hAnsi="PT Astra Serif" w:cs="Arial"/>
          <w:b/>
          <w:sz w:val="24"/>
          <w:szCs w:val="24"/>
          <w:lang w:eastAsia="zh-CN"/>
        </w:rPr>
        <w:t>010601:4791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804B8E">
        <w:rPr>
          <w:rFonts w:ascii="PT Astra Serif" w:hAnsi="PT Astra Serif" w:cs="Arial"/>
          <w:sz w:val="24"/>
          <w:szCs w:val="24"/>
        </w:rPr>
        <w:t>763600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804B8E">
        <w:rPr>
          <w:rFonts w:ascii="PT Astra Serif" w:hAnsi="PT Astra Serif" w:cs="Arial"/>
          <w:sz w:val="24"/>
          <w:szCs w:val="24"/>
        </w:rPr>
        <w:t>семьсот шестьдесят три тысячи шестьсот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804B8E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804B8E">
        <w:rPr>
          <w:rFonts w:ascii="PT Astra Serif" w:hAnsi="PT Astra Serif"/>
          <w:sz w:val="24"/>
          <w:szCs w:val="24"/>
        </w:rPr>
        <w:t>22908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804B8E">
        <w:rPr>
          <w:rFonts w:ascii="PT Astra Serif" w:hAnsi="PT Astra Serif" w:cs="Arial"/>
          <w:sz w:val="24"/>
          <w:szCs w:val="24"/>
        </w:rPr>
        <w:t xml:space="preserve">двадцать </w:t>
      </w:r>
      <w:r>
        <w:rPr>
          <w:rFonts w:ascii="PT Astra Serif" w:hAnsi="PT Astra Serif"/>
          <w:sz w:val="24"/>
          <w:szCs w:val="24"/>
        </w:rPr>
        <w:t xml:space="preserve">две тысячи </w:t>
      </w:r>
      <w:r w:rsidR="00804B8E">
        <w:rPr>
          <w:rFonts w:ascii="PT Astra Serif" w:hAnsi="PT Astra Serif"/>
          <w:sz w:val="24"/>
          <w:szCs w:val="24"/>
        </w:rPr>
        <w:t>девятьсот восемь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804B8E">
        <w:rPr>
          <w:rFonts w:ascii="PT Astra Serif" w:hAnsi="PT Astra Serif"/>
          <w:sz w:val="24"/>
          <w:szCs w:val="24"/>
        </w:rPr>
        <w:t>381800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804B8E">
        <w:rPr>
          <w:rFonts w:ascii="PT Astra Serif" w:hAnsi="PT Astra Serif"/>
          <w:sz w:val="24"/>
          <w:szCs w:val="24"/>
        </w:rPr>
        <w:t>триста восемьдесят одна тысяча восемьсот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DE549F" w:rsidRPr="00FA12C8" w:rsidRDefault="00DE549F" w:rsidP="00DE549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Страховское Заокского района утвержденным постановлением администрации муниципального образования Заокский район от </w:t>
      </w:r>
      <w:r w:rsidR="00294E71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 w:rsidR="00294E71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 w:rsidR="00EF7124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="007A6B74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входит в границы территориальной зоны «</w:t>
      </w:r>
      <w:r>
        <w:rPr>
          <w:rFonts w:ascii="PT Astra Serif" w:hAnsi="PT Astra Serif"/>
          <w:color w:val="000000" w:themeColor="text1"/>
          <w:sz w:val="24"/>
          <w:szCs w:val="24"/>
        </w:rPr>
        <w:t>Сх</w:t>
      </w:r>
      <w:proofErr w:type="gramStart"/>
      <w:r>
        <w:rPr>
          <w:rFonts w:ascii="PT Astra Serif" w:hAnsi="PT Astra Serif"/>
          <w:color w:val="000000" w:themeColor="text1"/>
          <w:sz w:val="24"/>
          <w:szCs w:val="24"/>
        </w:rPr>
        <w:t>2</w:t>
      </w:r>
      <w:proofErr w:type="gramEnd"/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» – </w:t>
      </w:r>
      <w:r w:rsidR="00294E71">
        <w:rPr>
          <w:rFonts w:ascii="PT Astra Serif" w:eastAsia="Calibri" w:hAnsi="PT Astra Serif"/>
          <w:sz w:val="24"/>
          <w:szCs w:val="24"/>
        </w:rPr>
        <w:t>з</w:t>
      </w:r>
      <w:r w:rsidR="00294E71" w:rsidRPr="00294E71">
        <w:rPr>
          <w:rFonts w:ascii="PT Astra Serif" w:eastAsia="Calibri" w:hAnsi="PT Astra Serif"/>
          <w:sz w:val="24"/>
          <w:szCs w:val="24"/>
        </w:rPr>
        <w:t>она садоводческих или огороднических некоммерческих товариществ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294E71" w:rsidRDefault="00DE549F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 соответствии с разрешенным использованием земельного участка – «ведение огородничества» предусмотрено 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294E71" w:rsidRPr="00294E71" w:rsidRDefault="00294E71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94E71">
        <w:rPr>
          <w:rFonts w:ascii="Times New Roman" w:hAnsi="Times New Roman"/>
          <w:sz w:val="24"/>
          <w:szCs w:val="24"/>
        </w:rPr>
        <w:t>В соответствии с решением Исполнительного комитета Тульского областного Совета народных депутатов от 14.06.1991 г. №</w:t>
      </w:r>
      <w:r>
        <w:rPr>
          <w:rFonts w:ascii="Times New Roman" w:hAnsi="Times New Roman"/>
          <w:sz w:val="24"/>
          <w:szCs w:val="24"/>
        </w:rPr>
        <w:t>9-</w:t>
      </w:r>
      <w:r w:rsidRPr="00294E71">
        <w:rPr>
          <w:rFonts w:ascii="Times New Roman" w:hAnsi="Times New Roman"/>
          <w:sz w:val="24"/>
          <w:szCs w:val="24"/>
        </w:rPr>
        <w:t xml:space="preserve">235 «Об утверждении зон охраны Государственного мемориального историко-художественного и природного музея-заповедника В.Д. Поленова, правил застройки, благоустройства, содержания и режима их использования»земельный участок </w:t>
      </w:r>
      <w:r w:rsidRPr="00294E71">
        <w:rPr>
          <w:rFonts w:ascii="Times New Roman" w:hAnsi="Times New Roman" w:cs="Times New Roman"/>
          <w:sz w:val="24"/>
          <w:szCs w:val="24"/>
        </w:rPr>
        <w:t xml:space="preserve">расположен в зоне охраняемого ландшафта Государственного мемориального историко-художественного и природного музея-заповедника В.Д. Поленова. На территории зоны охраняемого ландшафта не допускается: строительство капитальных хозяйственных, промышленных сооружений, административных и жилых объектов.  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Сведения о наличии земельного спора о местоположении границ земельного участка отсутствуют. 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 w:rsidR="002D7C05"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 w:rsidR="002D7C05"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lastRenderedPageBreak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33787"/>
    <w:rsid w:val="00156D8A"/>
    <w:rsid w:val="001A270B"/>
    <w:rsid w:val="001A6AA7"/>
    <w:rsid w:val="001B5EF1"/>
    <w:rsid w:val="001C0CC8"/>
    <w:rsid w:val="00212F94"/>
    <w:rsid w:val="00235F31"/>
    <w:rsid w:val="00271BD3"/>
    <w:rsid w:val="00274DEF"/>
    <w:rsid w:val="00294E71"/>
    <w:rsid w:val="002A1294"/>
    <w:rsid w:val="002D7C05"/>
    <w:rsid w:val="0030201E"/>
    <w:rsid w:val="003414E7"/>
    <w:rsid w:val="00390C1B"/>
    <w:rsid w:val="00395026"/>
    <w:rsid w:val="003A28CE"/>
    <w:rsid w:val="003C298D"/>
    <w:rsid w:val="003C3CDC"/>
    <w:rsid w:val="003D301A"/>
    <w:rsid w:val="003E4058"/>
    <w:rsid w:val="003E516D"/>
    <w:rsid w:val="003F1D6D"/>
    <w:rsid w:val="00400EFB"/>
    <w:rsid w:val="004260A2"/>
    <w:rsid w:val="00471E3A"/>
    <w:rsid w:val="004B1F76"/>
    <w:rsid w:val="004D2C9C"/>
    <w:rsid w:val="00517BCE"/>
    <w:rsid w:val="005377B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A6B74"/>
    <w:rsid w:val="007C4850"/>
    <w:rsid w:val="007E4F10"/>
    <w:rsid w:val="007E5A74"/>
    <w:rsid w:val="00804B8E"/>
    <w:rsid w:val="00817DCA"/>
    <w:rsid w:val="0082787E"/>
    <w:rsid w:val="00832120"/>
    <w:rsid w:val="008453F6"/>
    <w:rsid w:val="0085550C"/>
    <w:rsid w:val="008D045A"/>
    <w:rsid w:val="008D21E5"/>
    <w:rsid w:val="008E4C3D"/>
    <w:rsid w:val="0091219C"/>
    <w:rsid w:val="0094724D"/>
    <w:rsid w:val="00976FCD"/>
    <w:rsid w:val="00997CD5"/>
    <w:rsid w:val="009B14D0"/>
    <w:rsid w:val="00A91AF6"/>
    <w:rsid w:val="00A93F99"/>
    <w:rsid w:val="00A9746B"/>
    <w:rsid w:val="00AA7835"/>
    <w:rsid w:val="00AD1FDC"/>
    <w:rsid w:val="00AE0463"/>
    <w:rsid w:val="00B535B2"/>
    <w:rsid w:val="00B625F9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E549F"/>
    <w:rsid w:val="00DF5C12"/>
    <w:rsid w:val="00E23FE4"/>
    <w:rsid w:val="00E308E3"/>
    <w:rsid w:val="00E4319A"/>
    <w:rsid w:val="00EB7231"/>
    <w:rsid w:val="00EE0605"/>
    <w:rsid w:val="00EE0CBE"/>
    <w:rsid w:val="00EF7124"/>
    <w:rsid w:val="00EF79E7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3539</Words>
  <Characters>20177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104</cp:revision>
  <dcterms:created xsi:type="dcterms:W3CDTF">2023-05-19T11:07:00Z</dcterms:created>
  <dcterms:modified xsi:type="dcterms:W3CDTF">2023-10-26T10:35:00Z</dcterms:modified>
</cp:coreProperties>
</file>