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C11D7D">
        <w:rPr>
          <w:rFonts w:ascii="PT Astra Serif" w:hAnsi="PT Astra Serif" w:cs="Times New Roman CYR"/>
          <w:b/>
          <w:spacing w:val="-4"/>
          <w:sz w:val="24"/>
          <w:szCs w:val="24"/>
        </w:rPr>
        <w:t>1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11D7D" w:rsidRDefault="00CF01DB" w:rsidP="00C11D7D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11D7D" w:rsidRDefault="00C11D7D" w:rsidP="00C11D7D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>010601:5684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6732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ведение огородничества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№71:09:010601:4791,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3F03A3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23</cp:revision>
  <dcterms:created xsi:type="dcterms:W3CDTF">2023-05-19T12:49:00Z</dcterms:created>
  <dcterms:modified xsi:type="dcterms:W3CDTF">2023-10-24T12:49:00Z</dcterms:modified>
</cp:coreProperties>
</file>