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D6AD3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A87157">
        <w:rPr>
          <w:rFonts w:ascii="PT Astra Serif" w:hAnsi="PT Astra Serif" w:cs="Times New Roman CYR"/>
          <w:b/>
          <w:spacing w:val="-4"/>
          <w:sz w:val="24"/>
          <w:szCs w:val="24"/>
        </w:rPr>
        <w:t>7</w:t>
      </w:r>
      <w:r w:rsidR="00747B4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апреля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747B42">
        <w:rPr>
          <w:rFonts w:ascii="PT Astra Serif" w:hAnsi="PT Astra Serif"/>
          <w:bCs/>
          <w:sz w:val="24"/>
          <w:szCs w:val="24"/>
          <w:shd w:val="clear" w:color="auto" w:fill="FFFFFF"/>
        </w:rPr>
        <w:t>48734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A87157">
        <w:rPr>
          <w:rFonts w:ascii="PT Astra Serif" w:hAnsi="PT Astra Serif"/>
          <w:color w:val="000000" w:themeColor="text1"/>
          <w:sz w:val="24"/>
          <w:szCs w:val="24"/>
        </w:rPr>
        <w:t>11.03.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2023 № </w:t>
      </w:r>
      <w:r w:rsidR="00A87157">
        <w:rPr>
          <w:rFonts w:ascii="PT Astra Serif" w:hAnsi="PT Astra Serif"/>
          <w:color w:val="000000" w:themeColor="text1"/>
          <w:sz w:val="24"/>
          <w:szCs w:val="24"/>
        </w:rPr>
        <w:t>242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A87157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A87157">
        <w:rPr>
          <w:rFonts w:ascii="PT Astra Serif" w:hAnsi="PT Astra Serif"/>
          <w:color w:val="000000" w:themeColor="text1"/>
          <w:sz w:val="24"/>
          <w:szCs w:val="24"/>
        </w:rPr>
        <w:t>кциона</w:t>
      </w:r>
      <w:r w:rsidR="002F7061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A87157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1D6AD3">
        <w:rPr>
          <w:rFonts w:ascii="PT Astra Serif" w:hAnsi="PT Astra Serif"/>
          <w:spacing w:val="-6"/>
          <w:sz w:val="24"/>
          <w:szCs w:val="24"/>
        </w:rPr>
        <w:t>1</w:t>
      </w:r>
      <w:r w:rsidR="00A87157">
        <w:rPr>
          <w:rFonts w:ascii="PT Astra Serif" w:hAnsi="PT Astra Serif"/>
          <w:spacing w:val="-6"/>
          <w:sz w:val="24"/>
          <w:szCs w:val="24"/>
        </w:rPr>
        <w:t>3</w:t>
      </w:r>
      <w:r w:rsidR="001D6AD3">
        <w:rPr>
          <w:rFonts w:ascii="PT Astra Serif" w:hAnsi="PT Astra Serif"/>
          <w:spacing w:val="-6"/>
          <w:sz w:val="24"/>
          <w:szCs w:val="24"/>
        </w:rPr>
        <w:t xml:space="preserve"> марта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A87157">
        <w:rPr>
          <w:rFonts w:ascii="PT Astra Serif" w:hAnsi="PT Astra Serif"/>
          <w:bCs/>
          <w:spacing w:val="-6"/>
          <w:sz w:val="24"/>
          <w:szCs w:val="24"/>
        </w:rPr>
        <w:t>12</w:t>
      </w:r>
      <w:r w:rsidR="004667F9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1D6AD3">
        <w:rPr>
          <w:rFonts w:ascii="PT Astra Serif" w:hAnsi="PT Astra Serif"/>
          <w:spacing w:val="-6"/>
          <w:sz w:val="24"/>
          <w:szCs w:val="24"/>
        </w:rPr>
        <w:t>1</w:t>
      </w:r>
      <w:r w:rsidR="00A87157">
        <w:rPr>
          <w:rFonts w:ascii="PT Astra Serif" w:hAnsi="PT Astra Serif"/>
          <w:spacing w:val="-6"/>
          <w:sz w:val="24"/>
          <w:szCs w:val="24"/>
        </w:rPr>
        <w:t>5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1D6AD3">
        <w:rPr>
          <w:rFonts w:ascii="PT Astra Serif" w:hAnsi="PT Astra Serif"/>
          <w:spacing w:val="-6"/>
          <w:sz w:val="24"/>
          <w:szCs w:val="24"/>
        </w:rPr>
        <w:t>1</w:t>
      </w:r>
      <w:r w:rsidR="00A87157">
        <w:rPr>
          <w:rFonts w:ascii="PT Astra Serif" w:hAnsi="PT Astra Serif"/>
          <w:spacing w:val="-6"/>
          <w:sz w:val="24"/>
          <w:szCs w:val="24"/>
        </w:rPr>
        <w:t>6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1D6AD3">
        <w:rPr>
          <w:rFonts w:ascii="PT Astra Serif" w:hAnsi="PT Astra Serif"/>
          <w:spacing w:val="-6"/>
          <w:sz w:val="24"/>
          <w:szCs w:val="24"/>
        </w:rPr>
        <w:t>1</w:t>
      </w:r>
      <w:r w:rsidR="00A87157">
        <w:rPr>
          <w:rFonts w:ascii="PT Astra Serif" w:hAnsi="PT Astra Serif"/>
          <w:spacing w:val="-6"/>
          <w:sz w:val="24"/>
          <w:szCs w:val="24"/>
        </w:rPr>
        <w:t>7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7B42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1D6AD3">
        <w:rPr>
          <w:rFonts w:ascii="PT Astra Serif" w:hAnsi="PT Astra Serif"/>
          <w:spacing w:val="-6"/>
          <w:sz w:val="24"/>
          <w:szCs w:val="24"/>
        </w:rPr>
        <w:t>1</w:t>
      </w:r>
      <w:r w:rsidR="00A87157">
        <w:rPr>
          <w:rFonts w:ascii="PT Astra Serif" w:hAnsi="PT Astra Serif"/>
          <w:spacing w:val="-6"/>
          <w:sz w:val="24"/>
          <w:szCs w:val="24"/>
        </w:rPr>
        <w:t>7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D6AD3">
        <w:rPr>
          <w:rFonts w:ascii="PT Astra Serif" w:hAnsi="PT Astra Serif" w:cs="Arial"/>
          <w:b/>
          <w:sz w:val="24"/>
          <w:szCs w:val="24"/>
        </w:rPr>
        <w:t>020201:4396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1D6AD3">
        <w:rPr>
          <w:rFonts w:ascii="PT Astra Serif" w:hAnsi="PT Astra Serif" w:cs="Arial"/>
          <w:b/>
          <w:sz w:val="24"/>
          <w:szCs w:val="24"/>
        </w:rPr>
        <w:t>500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1D6AD3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д. </w:t>
      </w:r>
      <w:r w:rsidR="001D6AD3">
        <w:rPr>
          <w:rFonts w:ascii="PT Astra Serif" w:hAnsi="PT Astra Serif"/>
          <w:b/>
          <w:sz w:val="24"/>
          <w:szCs w:val="24"/>
        </w:rPr>
        <w:t>Венюково</w:t>
      </w:r>
      <w:r>
        <w:rPr>
          <w:rFonts w:ascii="PT Astra Serif" w:hAnsi="PT Astra Serif"/>
          <w:b/>
          <w:sz w:val="24"/>
          <w:szCs w:val="24"/>
        </w:rPr>
        <w:t xml:space="preserve">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1D6AD3">
        <w:rPr>
          <w:rFonts w:ascii="PT Astra Serif" w:hAnsi="PT Astra Serif"/>
          <w:b/>
          <w:sz w:val="24"/>
          <w:szCs w:val="24"/>
        </w:rPr>
        <w:t>020201:2463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1D6AD3">
        <w:rPr>
          <w:rFonts w:ascii="PT Astra Serif" w:hAnsi="PT Astra Serif" w:cs="Arial"/>
          <w:sz w:val="24"/>
          <w:szCs w:val="24"/>
        </w:rPr>
        <w:t>8450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1D6AD3">
        <w:rPr>
          <w:rFonts w:ascii="PT Astra Serif" w:hAnsi="PT Astra Serif" w:cs="Arial"/>
          <w:sz w:val="24"/>
          <w:szCs w:val="24"/>
        </w:rPr>
        <w:t>восемь тысяч четыреста пятьдесят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1D6AD3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1D6AD3">
        <w:rPr>
          <w:rFonts w:ascii="PT Astra Serif" w:hAnsi="PT Astra Serif"/>
          <w:sz w:val="24"/>
          <w:szCs w:val="24"/>
        </w:rPr>
        <w:t xml:space="preserve">253 </w:t>
      </w:r>
      <w:r>
        <w:rPr>
          <w:rFonts w:ascii="PT Astra Serif" w:hAnsi="PT Astra Serif"/>
          <w:sz w:val="24"/>
          <w:szCs w:val="24"/>
        </w:rPr>
        <w:t>(</w:t>
      </w:r>
      <w:r w:rsidR="001D6AD3">
        <w:rPr>
          <w:rFonts w:ascii="PT Astra Serif" w:hAnsi="PT Astra Serif" w:cs="Arial"/>
          <w:sz w:val="24"/>
          <w:szCs w:val="24"/>
        </w:rPr>
        <w:t>двести пятьдесят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D6AD3">
        <w:rPr>
          <w:rFonts w:ascii="PT Astra Serif" w:hAnsi="PT Astra Serif" w:cs="Arial"/>
          <w:sz w:val="24"/>
          <w:szCs w:val="24"/>
        </w:rPr>
        <w:t>я 50 копеек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1D6AD3">
        <w:rPr>
          <w:rFonts w:ascii="PT Astra Serif" w:hAnsi="PT Astra Serif"/>
          <w:sz w:val="24"/>
          <w:szCs w:val="24"/>
        </w:rPr>
        <w:t>4225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1D6AD3">
        <w:rPr>
          <w:rFonts w:ascii="PT Astra Serif" w:hAnsi="PT Astra Serif"/>
          <w:sz w:val="24"/>
          <w:szCs w:val="24"/>
        </w:rPr>
        <w:t>четыре тысячи двести двадцать пять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667F9" w:rsidRDefault="001D6AD3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</w:t>
      </w:r>
      <w:r w:rsidR="004D3820">
        <w:rPr>
          <w:rFonts w:ascii="PT Astra Serif" w:hAnsi="PT Astra Serif"/>
          <w:sz w:val="24"/>
          <w:szCs w:val="24"/>
        </w:rPr>
        <w:t>в границы территориальной зоны «</w:t>
      </w:r>
      <w:r>
        <w:rPr>
          <w:rFonts w:ascii="PT Astra Serif" w:hAnsi="PT Astra Serif"/>
          <w:sz w:val="24"/>
          <w:szCs w:val="24"/>
        </w:rPr>
        <w:t>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 w:rsidR="004D3820">
        <w:rPr>
          <w:rFonts w:ascii="PT Astra Serif" w:hAnsi="PT Astra Serif"/>
          <w:sz w:val="24"/>
          <w:szCs w:val="24"/>
        </w:rPr>
        <w:t xml:space="preserve">» </w:t>
      </w:r>
      <w:r w:rsidR="004D3820" w:rsidRPr="00BB68E9">
        <w:rPr>
          <w:rFonts w:ascii="PT Astra Serif" w:hAnsi="PT Astra Serif"/>
          <w:sz w:val="24"/>
          <w:szCs w:val="24"/>
        </w:rPr>
        <w:t xml:space="preserve">- </w:t>
      </w:r>
      <w:r w:rsidR="004D3820">
        <w:rPr>
          <w:rFonts w:ascii="PT Astra Serif" w:hAnsi="PT Astra Serif"/>
          <w:sz w:val="24"/>
          <w:szCs w:val="24"/>
        </w:rPr>
        <w:t xml:space="preserve">зона </w:t>
      </w:r>
      <w:r>
        <w:rPr>
          <w:rFonts w:ascii="PT Astra Serif" w:hAnsi="PT Astra Serif"/>
          <w:sz w:val="24"/>
          <w:szCs w:val="24"/>
        </w:rPr>
        <w:t>сельскохозяйственный угодий</w:t>
      </w:r>
      <w:r w:rsidR="004D3820">
        <w:rPr>
          <w:rFonts w:ascii="PT Astra Serif" w:hAnsi="PT Astra Serif"/>
          <w:sz w:val="24"/>
          <w:szCs w:val="24"/>
        </w:rPr>
        <w:t>.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1D6AD3" w:rsidRDefault="001D6AD3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 посредством земель государственной неразграниченной собственности. 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D6AD3" w:rsidRDefault="001D6AD3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</w:p>
    <w:p w:rsidR="001D6AD3" w:rsidRDefault="001D6AD3" w:rsidP="001D6AD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010301:8929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1000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010301:6636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1D6AD3" w:rsidRDefault="001D6AD3" w:rsidP="001D6AD3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5100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пять тысяч сто</w:t>
      </w:r>
      <w:r w:rsidRPr="00FA12C8">
        <w:rPr>
          <w:rFonts w:ascii="PT Astra Serif" w:hAnsi="PT Astra Serif" w:cs="Arial"/>
          <w:sz w:val="24"/>
          <w:szCs w:val="24"/>
        </w:rPr>
        <w:t>)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EB5EC5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53 (</w:t>
      </w:r>
      <w:r w:rsidR="00EB5EC5">
        <w:rPr>
          <w:rFonts w:ascii="PT Astra Serif" w:hAnsi="PT Astra Serif" w:cs="Arial"/>
          <w:sz w:val="24"/>
          <w:szCs w:val="24"/>
        </w:rPr>
        <w:t>сто</w:t>
      </w:r>
      <w:r>
        <w:rPr>
          <w:rFonts w:ascii="PT Astra Serif" w:hAnsi="PT Astra Serif" w:cs="Arial"/>
          <w:sz w:val="24"/>
          <w:szCs w:val="24"/>
        </w:rPr>
        <w:t xml:space="preserve"> пятьдесят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EB5EC5">
        <w:rPr>
          <w:rFonts w:ascii="PT Astra Serif" w:hAnsi="PT Astra Serif"/>
          <w:sz w:val="24"/>
          <w:szCs w:val="24"/>
        </w:rPr>
        <w:t>2550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EB5EC5">
        <w:rPr>
          <w:rFonts w:ascii="PT Astra Serif" w:hAnsi="PT Astra Serif"/>
          <w:sz w:val="24"/>
          <w:szCs w:val="24"/>
        </w:rPr>
        <w:t>две тысячи пятьсот пятьдесят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667F9" w:rsidRDefault="001D6AD3" w:rsidP="001D6AD3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>,</w:t>
      </w:r>
      <w:r w:rsidRPr="00BB68E9">
        <w:rPr>
          <w:rFonts w:ascii="PT Astra Serif" w:hAnsi="PT Astra Serif"/>
          <w:sz w:val="24"/>
          <w:szCs w:val="24"/>
        </w:rPr>
        <w:t xml:space="preserve"> входит </w:t>
      </w:r>
      <w:r>
        <w:rPr>
          <w:rFonts w:ascii="PT Astra Serif" w:hAnsi="PT Astra Serif"/>
          <w:sz w:val="24"/>
          <w:szCs w:val="24"/>
        </w:rPr>
        <w:t>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>зона сельскохозяйственный угодий.</w:t>
      </w:r>
    </w:p>
    <w:p w:rsidR="001D6AD3" w:rsidRDefault="001D6AD3" w:rsidP="001D6AD3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1D6AD3" w:rsidRDefault="001D6AD3" w:rsidP="001D6AD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1D6AD3" w:rsidRDefault="001D6AD3" w:rsidP="001D6AD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 посредством земель государственной неразграниченной собственности. </w:t>
      </w:r>
    </w:p>
    <w:p w:rsidR="001D6AD3" w:rsidRDefault="001D6AD3" w:rsidP="001D6AD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1D6AD3" w:rsidRDefault="001D6AD3" w:rsidP="001D6AD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D6AD3" w:rsidRDefault="001D6AD3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</w:p>
    <w:p w:rsid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000000:2355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391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 xml:space="preserve">вблизи </w:t>
      </w:r>
      <w:r w:rsidRPr="00F2729A">
        <w:rPr>
          <w:rFonts w:ascii="PT Astra Serif" w:hAnsi="PT Astra Serif"/>
          <w:b/>
          <w:sz w:val="24"/>
          <w:szCs w:val="24"/>
        </w:rPr>
        <w:lastRenderedPageBreak/>
        <w:t>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03050</w:t>
      </w:r>
      <w:r w:rsidR="004667F9">
        <w:rPr>
          <w:rFonts w:ascii="PT Astra Serif" w:hAnsi="PT Astra Serif"/>
          <w:b/>
          <w:sz w:val="24"/>
          <w:szCs w:val="24"/>
        </w:rPr>
        <w:t>4</w:t>
      </w:r>
      <w:r>
        <w:rPr>
          <w:rFonts w:ascii="PT Astra Serif" w:hAnsi="PT Astra Serif"/>
          <w:b/>
          <w:sz w:val="24"/>
          <w:szCs w:val="24"/>
        </w:rPr>
        <w:t>:1185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EB5EC5" w:rsidRDefault="00EB5EC5" w:rsidP="00EB5EC5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42000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 xml:space="preserve">сорок две тысячи)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>
        <w:rPr>
          <w:rFonts w:ascii="PT Astra Serif" w:hAnsi="PT Astra Serif"/>
          <w:sz w:val="24"/>
          <w:szCs w:val="24"/>
        </w:rPr>
        <w:t>1260 (</w:t>
      </w:r>
      <w:r>
        <w:rPr>
          <w:rFonts w:ascii="PT Astra Serif" w:hAnsi="PT Astra Serif" w:cs="Arial"/>
          <w:sz w:val="24"/>
          <w:szCs w:val="24"/>
        </w:rPr>
        <w:t>одна тысяча двести шестьдесят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21000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двадцать одна тысяча)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AF67DF" w:rsidRDefault="00EB5EC5" w:rsidP="00EB5EC5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</w:t>
      </w:r>
      <w:r w:rsidRPr="002167D3">
        <w:rPr>
          <w:rFonts w:ascii="PT Astra Serif" w:hAnsi="PT Astra Serif"/>
          <w:sz w:val="24"/>
          <w:szCs w:val="24"/>
        </w:rPr>
        <w:t>,</w:t>
      </w:r>
      <w:r w:rsidRPr="00BB68E9">
        <w:rPr>
          <w:rFonts w:ascii="PT Astra Serif" w:hAnsi="PT Astra Serif"/>
          <w:sz w:val="24"/>
          <w:szCs w:val="24"/>
        </w:rPr>
        <w:t xml:space="preserve"> входит </w:t>
      </w:r>
      <w:r>
        <w:rPr>
          <w:rFonts w:ascii="PT Astra Serif" w:hAnsi="PT Astra Serif"/>
          <w:sz w:val="24"/>
          <w:szCs w:val="24"/>
        </w:rPr>
        <w:t>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2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 w:rsidRPr="00EB5EC5">
        <w:rPr>
          <w:rFonts w:ascii="PT Astra Serif" w:eastAsia="Calibri" w:hAnsi="PT Astra Serif"/>
          <w:sz w:val="24"/>
          <w:szCs w:val="24"/>
        </w:rPr>
        <w:t>Зона садоводческих или огороднических некоммерческих товариществ</w:t>
      </w:r>
      <w:r w:rsidRPr="00EB5EC5"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EB5EC5" w:rsidRDefault="00EB5EC5" w:rsidP="00EB5EC5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EB5EC5" w:rsidRP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B5EC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EB5EC5" w:rsidRP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B5EC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EB5EC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 w:rsidRPr="00EB5EC5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придорожной полоса автомагистрали М-2 "Крым" - от Москвы через Тулу, Орел, Белгород до границы с Украиной (</w:t>
      </w:r>
      <w:r w:rsidRPr="00EB5EC5">
        <w:rPr>
          <w:rFonts w:ascii="PT Astra Serif" w:hAnsi="PT Astra Serif" w:cs="Calibri"/>
          <w:bCs/>
          <w:color w:val="000000"/>
          <w:sz w:val="24"/>
          <w:szCs w:val="24"/>
          <w:shd w:val="clear" w:color="auto" w:fill="FFFFFF"/>
        </w:rPr>
        <w:t>71:00-6.490</w:t>
      </w:r>
      <w:r w:rsidRPr="00EB5EC5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).</w:t>
      </w:r>
    </w:p>
    <w:p w:rsid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 посредством земель государственной неразграниченной собственности. </w:t>
      </w:r>
    </w:p>
    <w:p w:rsidR="00EB5EC5" w:rsidRDefault="00EB5EC5" w:rsidP="00EB5EC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EB5EC5" w:rsidRDefault="00EB5EC5" w:rsidP="00EB5EC5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AF67DF" w:rsidRDefault="00AF67DF" w:rsidP="00EB5EC5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4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010601:5700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260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010601:3891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30500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 xml:space="preserve">тридцать тысяч пятьсот)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>
        <w:rPr>
          <w:rFonts w:ascii="PT Astra Serif" w:hAnsi="PT Astra Serif"/>
          <w:sz w:val="24"/>
          <w:szCs w:val="24"/>
        </w:rPr>
        <w:t>915 (</w:t>
      </w:r>
      <w:r>
        <w:rPr>
          <w:rFonts w:ascii="PT Astra Serif" w:hAnsi="PT Astra Serif" w:cs="Arial"/>
          <w:sz w:val="24"/>
          <w:szCs w:val="24"/>
        </w:rPr>
        <w:t>девятьсот пятнадцать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 xml:space="preserve">15250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/>
          <w:sz w:val="24"/>
          <w:szCs w:val="24"/>
        </w:rPr>
        <w:t>пятнадцать тысяч двести пятьдесят)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AF67DF" w:rsidRDefault="00AF67DF" w:rsidP="00AF67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>
        <w:rPr>
          <w:rFonts w:ascii="PT Astra Serif" w:eastAsia="Calibri" w:hAnsi="PT Astra Serif"/>
          <w:sz w:val="24"/>
          <w:szCs w:val="24"/>
        </w:rPr>
        <w:t>з</w:t>
      </w:r>
      <w:r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AF67DF" w:rsidRDefault="00AF67DF" w:rsidP="00AF67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AF67DF" w:rsidRPr="00EB5EC5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B5EC5">
        <w:rPr>
          <w:rFonts w:ascii="PT Astra Serif" w:hAnsi="PT Astra Serif"/>
          <w:sz w:val="24"/>
          <w:szCs w:val="24"/>
        </w:rPr>
        <w:lastRenderedPageBreak/>
        <w:t>Обременения и ограничения в использовании земельного участка:</w:t>
      </w:r>
    </w:p>
    <w:p w:rsidR="00AF67DF" w:rsidRDefault="00AF67DF" w:rsidP="00AF67DF">
      <w:pPr>
        <w:spacing w:after="0"/>
        <w:ind w:left="-567" w:firstLine="567"/>
        <w:jc w:val="both"/>
        <w:rPr>
          <w:rFonts w:ascii="Calibri" w:hAnsi="Calibri" w:cs="Calibri"/>
          <w:color w:val="000000"/>
          <w:sz w:val="20"/>
          <w:szCs w:val="20"/>
          <w:shd w:val="clear" w:color="auto" w:fill="F8F9FA"/>
        </w:rPr>
      </w:pPr>
      <w:r w:rsidRPr="00EB5EC5">
        <w:rPr>
          <w:rFonts w:ascii="PT Astra Serif" w:hAnsi="PT Astra Serif"/>
          <w:sz w:val="24"/>
          <w:szCs w:val="24"/>
        </w:rPr>
        <w:t>- земельный участок расположен в</w:t>
      </w:r>
      <w:r>
        <w:rPr>
          <w:rFonts w:ascii="PT Astra Serif" w:hAnsi="PT Astra Serif"/>
          <w:sz w:val="24"/>
          <w:szCs w:val="24"/>
        </w:rPr>
        <w:t xml:space="preserve"> границах </w:t>
      </w:r>
      <w:r>
        <w:rPr>
          <w:rFonts w:ascii="PT Astra Serif" w:hAnsi="PT Astra Serif" w:cs="Calibri"/>
          <w:sz w:val="24"/>
          <w:szCs w:val="24"/>
          <w:shd w:val="clear" w:color="auto" w:fill="F8F9FA"/>
        </w:rPr>
        <w:t>т</w:t>
      </w:r>
      <w:r w:rsidRPr="00AF67DF">
        <w:rPr>
          <w:rFonts w:ascii="PT Astra Serif" w:hAnsi="PT Astra Serif" w:cs="Calibri"/>
          <w:sz w:val="24"/>
          <w:szCs w:val="24"/>
          <w:shd w:val="clear" w:color="auto" w:fill="F8F9FA"/>
        </w:rPr>
        <w:t xml:space="preserve">ерритории объекта культурного наследия федерального значения - достопримечательное место </w:t>
      </w:r>
      <w:r>
        <w:rPr>
          <w:rFonts w:ascii="PT Astra Serif" w:hAnsi="PT Astra Serif" w:cs="Calibri"/>
          <w:sz w:val="24"/>
          <w:szCs w:val="24"/>
          <w:shd w:val="clear" w:color="auto" w:fill="F8F9FA"/>
        </w:rPr>
        <w:t>«</w:t>
      </w:r>
      <w:proofErr w:type="spellStart"/>
      <w:r w:rsidRPr="00AF67DF">
        <w:rPr>
          <w:rFonts w:ascii="PT Astra Serif" w:hAnsi="PT Astra Serif" w:cs="Calibri"/>
          <w:sz w:val="24"/>
          <w:szCs w:val="24"/>
          <w:shd w:val="clear" w:color="auto" w:fill="F8F9FA"/>
        </w:rPr>
        <w:t>Поленово</w:t>
      </w:r>
      <w:proofErr w:type="spellEnd"/>
      <w:r>
        <w:rPr>
          <w:rFonts w:ascii="PT Astra Serif" w:hAnsi="PT Astra Serif" w:cs="Calibri"/>
          <w:sz w:val="24"/>
          <w:szCs w:val="24"/>
          <w:shd w:val="clear" w:color="auto" w:fill="F8F9FA"/>
        </w:rPr>
        <w:t>»</w:t>
      </w:r>
      <w:r w:rsidRPr="00AF67DF">
        <w:rPr>
          <w:rFonts w:ascii="PT Astra Serif" w:hAnsi="PT Astra Serif" w:cs="Calibri"/>
          <w:sz w:val="24"/>
          <w:szCs w:val="24"/>
          <w:shd w:val="clear" w:color="auto" w:fill="F8F9FA"/>
        </w:rPr>
        <w:t>, расположенн</w:t>
      </w:r>
      <w:r>
        <w:rPr>
          <w:rFonts w:ascii="PT Astra Serif" w:hAnsi="PT Astra Serif" w:cs="Calibri"/>
          <w:sz w:val="24"/>
          <w:szCs w:val="24"/>
          <w:shd w:val="clear" w:color="auto" w:fill="F8F9FA"/>
        </w:rPr>
        <w:t>ой</w:t>
      </w:r>
      <w:r w:rsidRPr="00AF67DF">
        <w:rPr>
          <w:rFonts w:ascii="PT Astra Serif" w:hAnsi="PT Astra Serif" w:cs="Calibri"/>
          <w:sz w:val="24"/>
          <w:szCs w:val="24"/>
          <w:shd w:val="clear" w:color="auto" w:fill="F8F9FA"/>
        </w:rPr>
        <w:t xml:space="preserve"> по адресу: Тульская область Заокский район и Калужская область Тарусский район (</w:t>
      </w:r>
      <w:r w:rsidRPr="00AF67DF">
        <w:rPr>
          <w:rFonts w:ascii="PT Astra Serif" w:hAnsi="PT Astra Serif" w:cs="Calibri"/>
          <w:bCs/>
          <w:sz w:val="24"/>
          <w:szCs w:val="24"/>
          <w:shd w:val="clear" w:color="auto" w:fill="FFFFFF"/>
        </w:rPr>
        <w:t>71:09-8.119</w:t>
      </w:r>
      <w:r w:rsidRPr="00AF67DF">
        <w:rPr>
          <w:rFonts w:ascii="PT Astra Serif" w:hAnsi="PT Astra Serif" w:cs="Calibri"/>
          <w:sz w:val="24"/>
          <w:szCs w:val="24"/>
          <w:shd w:val="clear" w:color="auto" w:fill="F8F9FA"/>
        </w:rPr>
        <w:t>)</w:t>
      </w:r>
      <w:r>
        <w:rPr>
          <w:rFonts w:ascii="PT Astra Serif" w:hAnsi="PT Astra Serif" w:cs="Calibri"/>
          <w:sz w:val="24"/>
          <w:szCs w:val="24"/>
          <w:shd w:val="clear" w:color="auto" w:fill="F8F9FA"/>
        </w:rPr>
        <w:t>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 посредством земель государственной неразграниченной собственности. 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AF67DF" w:rsidRDefault="00AF67DF" w:rsidP="00AF67D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D6AD3" w:rsidRDefault="001D6AD3" w:rsidP="0043359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648F9"/>
    <w:rsid w:val="000A141A"/>
    <w:rsid w:val="000B1A83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C6705"/>
    <w:rsid w:val="001C7B4D"/>
    <w:rsid w:val="001D6AD3"/>
    <w:rsid w:val="001E6FD2"/>
    <w:rsid w:val="001F52AE"/>
    <w:rsid w:val="00203519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A6523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667F9"/>
    <w:rsid w:val="00471E3A"/>
    <w:rsid w:val="004B1F76"/>
    <w:rsid w:val="004D2C9C"/>
    <w:rsid w:val="004D3820"/>
    <w:rsid w:val="004D6E53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47B42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E4C3D"/>
    <w:rsid w:val="0091219C"/>
    <w:rsid w:val="0094724D"/>
    <w:rsid w:val="00976FCD"/>
    <w:rsid w:val="00997CD5"/>
    <w:rsid w:val="009B14D0"/>
    <w:rsid w:val="009E7646"/>
    <w:rsid w:val="00A87157"/>
    <w:rsid w:val="00A91AF6"/>
    <w:rsid w:val="00A93F99"/>
    <w:rsid w:val="00A9746B"/>
    <w:rsid w:val="00AA7835"/>
    <w:rsid w:val="00AB31D0"/>
    <w:rsid w:val="00AC5ABD"/>
    <w:rsid w:val="00AD1FDC"/>
    <w:rsid w:val="00AE0463"/>
    <w:rsid w:val="00AF67DF"/>
    <w:rsid w:val="00B535B2"/>
    <w:rsid w:val="00B56634"/>
    <w:rsid w:val="00B625F9"/>
    <w:rsid w:val="00B75619"/>
    <w:rsid w:val="00BA1A62"/>
    <w:rsid w:val="00BA27A9"/>
    <w:rsid w:val="00BB0B2B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06BFD"/>
    <w:rsid w:val="00D10C35"/>
    <w:rsid w:val="00D16128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46B36"/>
    <w:rsid w:val="00E5184A"/>
    <w:rsid w:val="00E64B9C"/>
    <w:rsid w:val="00EA0BF9"/>
    <w:rsid w:val="00EB5EC5"/>
    <w:rsid w:val="00EB7231"/>
    <w:rsid w:val="00EC2414"/>
    <w:rsid w:val="00EE0605"/>
    <w:rsid w:val="00EE0CBE"/>
    <w:rsid w:val="00EE7332"/>
    <w:rsid w:val="00EF7124"/>
    <w:rsid w:val="00EF79E7"/>
    <w:rsid w:val="00F04064"/>
    <w:rsid w:val="00F05060"/>
    <w:rsid w:val="00F23260"/>
    <w:rsid w:val="00F2729A"/>
    <w:rsid w:val="00F32213"/>
    <w:rsid w:val="00F71BAA"/>
    <w:rsid w:val="00F73EFE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E4B1-C112-43A2-8397-F67889F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4388</Words>
  <Characters>25015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152</cp:revision>
  <dcterms:created xsi:type="dcterms:W3CDTF">2023-05-19T11:07:00Z</dcterms:created>
  <dcterms:modified xsi:type="dcterms:W3CDTF">2024-03-13T06:44:00Z</dcterms:modified>
</cp:coreProperties>
</file>