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804B8E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3A565F">
        <w:rPr>
          <w:rFonts w:ascii="PT Astra Serif" w:hAnsi="PT Astra Serif" w:cs="Times New Roman CYR"/>
          <w:b/>
          <w:spacing w:val="-4"/>
          <w:sz w:val="24"/>
          <w:szCs w:val="24"/>
        </w:rPr>
        <w:t>1 марта</w:t>
      </w:r>
      <w:r w:rsidR="00415068" w:rsidRPr="003A565F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 w:rsidRPr="003A565F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3A565F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 w:rsidRPr="003A565F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3A565F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790754">
        <w:rPr>
          <w:rFonts w:ascii="PT Astra Serif" w:hAnsi="PT Astra Serif" w:cs="Times New Roman CYR"/>
          <w:b/>
          <w:spacing w:val="-4"/>
          <w:sz w:val="24"/>
          <w:szCs w:val="24"/>
        </w:rPr>
        <w:t>а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ого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а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415068">
        <w:rPr>
          <w:rFonts w:ascii="PT Astra Serif" w:hAnsi="PT Astra Serif"/>
          <w:color w:val="000000" w:themeColor="text1"/>
          <w:sz w:val="24"/>
          <w:szCs w:val="24"/>
        </w:rPr>
        <w:t>26.10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.2023 №</w:t>
      </w:r>
      <w:r w:rsidR="00415068">
        <w:rPr>
          <w:rFonts w:ascii="PT Astra Serif" w:hAnsi="PT Astra Serif"/>
          <w:color w:val="000000" w:themeColor="text1"/>
          <w:sz w:val="24"/>
          <w:szCs w:val="24"/>
        </w:rPr>
        <w:t>1945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</w:t>
      </w:r>
      <w:proofErr w:type="gramStart"/>
      <w:r w:rsidRPr="004B1F76">
        <w:rPr>
          <w:rFonts w:ascii="PT Astra Serif" w:hAnsi="PT Astra Serif"/>
          <w:color w:val="000000" w:themeColor="text1"/>
          <w:sz w:val="24"/>
          <w:szCs w:val="24"/>
        </w:rPr>
        <w:t>ии ау</w:t>
      </w:r>
      <w:proofErr w:type="gramEnd"/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кциона </w:t>
      </w:r>
      <w:r w:rsidR="00415068">
        <w:rPr>
          <w:rFonts w:ascii="PT Astra Serif" w:hAnsi="PT Astra Serif"/>
          <w:color w:val="000000" w:themeColor="text1"/>
          <w:sz w:val="24"/>
          <w:szCs w:val="24"/>
        </w:rPr>
        <w:t xml:space="preserve">в </w:t>
      </w:r>
      <w:r w:rsidR="00415068" w:rsidRPr="004B1F76">
        <w:rPr>
          <w:rFonts w:ascii="PT Astra Serif" w:hAnsi="PT Astra Serif"/>
          <w:color w:val="000000" w:themeColor="text1"/>
          <w:sz w:val="24"/>
          <w:szCs w:val="24"/>
        </w:rPr>
        <w:t>электронно</w:t>
      </w:r>
      <w:r w:rsidR="00415068">
        <w:rPr>
          <w:rFonts w:ascii="PT Astra Serif" w:hAnsi="PT Astra Serif"/>
          <w:color w:val="000000" w:themeColor="text1"/>
          <w:sz w:val="24"/>
          <w:szCs w:val="24"/>
        </w:rPr>
        <w:t>й</w:t>
      </w:r>
      <w:r w:rsidR="00415068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415068">
        <w:rPr>
          <w:rFonts w:ascii="PT Astra Serif" w:hAnsi="PT Astra Serif"/>
          <w:color w:val="000000" w:themeColor="text1"/>
          <w:sz w:val="24"/>
          <w:szCs w:val="24"/>
        </w:rPr>
        <w:t xml:space="preserve">форме 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на право заключения договор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ого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790754" w:rsidRPr="004B1F76">
        <w:rPr>
          <w:rFonts w:ascii="PT Astra Serif" w:hAnsi="PT Astra Serif"/>
          <w:color w:val="000000" w:themeColor="text1"/>
          <w:sz w:val="24"/>
          <w:szCs w:val="24"/>
        </w:rPr>
        <w:t>а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3A565F">
        <w:rPr>
          <w:rFonts w:ascii="PT Astra Serif" w:hAnsi="PT Astra Serif"/>
          <w:bCs/>
          <w:spacing w:val="-6"/>
          <w:sz w:val="24"/>
          <w:szCs w:val="24"/>
        </w:rPr>
        <w:t xml:space="preserve">25 января </w:t>
      </w:r>
      <w:r w:rsidR="00415068">
        <w:rPr>
          <w:rFonts w:ascii="PT Astra Serif" w:hAnsi="PT Astra Serif"/>
          <w:spacing w:val="-6"/>
          <w:sz w:val="24"/>
          <w:szCs w:val="24"/>
        </w:rPr>
        <w:t>2024 года</w:t>
      </w:r>
      <w:r w:rsidR="0041506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с </w:t>
      </w:r>
      <w:r w:rsidR="00D540E3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3A565F">
        <w:rPr>
          <w:rFonts w:ascii="PT Astra Serif" w:hAnsi="PT Astra Serif"/>
          <w:bCs/>
          <w:spacing w:val="-6"/>
          <w:sz w:val="24"/>
          <w:szCs w:val="24"/>
        </w:rPr>
        <w:t xml:space="preserve">28 февраля </w:t>
      </w:r>
      <w:r w:rsidR="00415068">
        <w:rPr>
          <w:rFonts w:ascii="PT Astra Serif" w:hAnsi="PT Astra Serif"/>
          <w:bCs/>
          <w:spacing w:val="-6"/>
          <w:sz w:val="24"/>
          <w:szCs w:val="24"/>
        </w:rPr>
        <w:t>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3A565F">
        <w:rPr>
          <w:rFonts w:ascii="PT Astra Serif" w:hAnsi="PT Astra Serif"/>
          <w:bCs/>
          <w:spacing w:val="-6"/>
          <w:sz w:val="24"/>
          <w:szCs w:val="24"/>
        </w:rPr>
        <w:t xml:space="preserve">29 февраля 2024 </w:t>
      </w:r>
      <w:r w:rsidR="00415068">
        <w:rPr>
          <w:rFonts w:ascii="PT Astra Serif" w:hAnsi="PT Astra Serif"/>
          <w:spacing w:val="-6"/>
          <w:sz w:val="24"/>
          <w:szCs w:val="24"/>
        </w:rPr>
        <w:t>года</w:t>
      </w:r>
      <w:r w:rsidRPr="00FA12C8">
        <w:rPr>
          <w:rFonts w:ascii="PT Astra Serif" w:hAnsi="PT Astra Serif"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аукциона</w:t>
      </w:r>
      <w:r w:rsidR="00804B8E">
        <w:rPr>
          <w:rFonts w:ascii="PT Astra Serif" w:hAnsi="PT Astra Serif"/>
          <w:b/>
          <w:spacing w:val="-6"/>
          <w:sz w:val="24"/>
          <w:szCs w:val="24"/>
          <w:u w:val="single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3A565F">
        <w:rPr>
          <w:rFonts w:ascii="PT Astra Serif" w:hAnsi="PT Astra Serif"/>
          <w:bCs/>
          <w:spacing w:val="-6"/>
          <w:sz w:val="24"/>
          <w:szCs w:val="24"/>
        </w:rPr>
        <w:t>1 марта</w:t>
      </w:r>
      <w:r w:rsidR="00415068">
        <w:rPr>
          <w:rFonts w:ascii="PT Astra Serif" w:hAnsi="PT Astra Serif"/>
          <w:bCs/>
          <w:spacing w:val="-6"/>
          <w:sz w:val="24"/>
          <w:szCs w:val="24"/>
        </w:rPr>
        <w:t xml:space="preserve"> 2024 года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804B8E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3A565F">
        <w:rPr>
          <w:rFonts w:ascii="PT Astra Serif" w:hAnsi="PT Astra Serif"/>
          <w:bCs/>
          <w:spacing w:val="-6"/>
          <w:sz w:val="24"/>
          <w:szCs w:val="24"/>
        </w:rPr>
        <w:t xml:space="preserve">1 марта 2024 </w:t>
      </w:r>
      <w:r w:rsidR="00415068">
        <w:rPr>
          <w:rFonts w:ascii="PT Astra Serif" w:hAnsi="PT Astra Serif"/>
          <w:bCs/>
          <w:spacing w:val="-6"/>
          <w:sz w:val="24"/>
          <w:szCs w:val="24"/>
        </w:rPr>
        <w:t>года</w:t>
      </w:r>
      <w:r w:rsidR="00415068" w:rsidRPr="00FA12C8">
        <w:rPr>
          <w:rFonts w:ascii="PT Astra Serif" w:hAnsi="PT Astra Serif"/>
          <w:bCs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F06B66" w:rsidRDefault="00EE0CBE" w:rsidP="00F06B66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4A6AFD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>. В аукционе могут принимать участие только граждане.</w:t>
      </w:r>
    </w:p>
    <w:p w:rsidR="00EE0CBE" w:rsidRPr="002A1294" w:rsidRDefault="00EE0CBE" w:rsidP="00F06B66">
      <w:pPr>
        <w:spacing w:after="0"/>
        <w:ind w:left="-567" w:firstLine="425"/>
        <w:jc w:val="both"/>
        <w:rPr>
          <w:rFonts w:ascii="PT Astra Serif" w:hAnsi="PT Astra Serif"/>
          <w:b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F06B66" w:rsidRDefault="003E4058" w:rsidP="00212F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F06B66">
        <w:rPr>
          <w:rFonts w:ascii="PT Astra Serif" w:hAnsi="PT Astra Serif" w:cs="Arial"/>
          <w:b/>
          <w:sz w:val="24"/>
          <w:szCs w:val="24"/>
        </w:rPr>
        <w:t>010101:5131</w:t>
      </w:r>
      <w:r w:rsidRPr="00FA12C8">
        <w:rPr>
          <w:rFonts w:ascii="PT Astra Serif" w:hAnsi="PT Astra Serif"/>
          <w:b/>
          <w:sz w:val="24"/>
          <w:szCs w:val="24"/>
        </w:rPr>
        <w:t xml:space="preserve"> площадью </w:t>
      </w:r>
      <w:r w:rsidR="00F06B66">
        <w:rPr>
          <w:rFonts w:ascii="PT Astra Serif" w:hAnsi="PT Astra Serif" w:cs="Arial"/>
          <w:b/>
          <w:sz w:val="24"/>
          <w:szCs w:val="24"/>
        </w:rPr>
        <w:t>400</w:t>
      </w:r>
      <w:r w:rsidRPr="00FA12C8"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3A565F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832120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</w:t>
      </w:r>
      <w:r w:rsidR="00DE549F">
        <w:rPr>
          <w:rFonts w:ascii="PT Astra Serif" w:hAnsi="PT Astra Serif" w:cs="Calibri"/>
          <w:b/>
          <w:sz w:val="24"/>
          <w:szCs w:val="24"/>
          <w:shd w:val="clear" w:color="auto" w:fill="FFFFFF"/>
        </w:rPr>
        <w:t>е</w:t>
      </w:r>
      <w:r w:rsidR="00804B8E">
        <w:rPr>
          <w:rFonts w:ascii="PT Astra Serif" w:hAnsi="PT Astra Serif" w:cs="Calibri"/>
          <w:b/>
          <w:sz w:val="24"/>
          <w:szCs w:val="24"/>
          <w:shd w:val="clear" w:color="auto" w:fill="FFFFFF"/>
        </w:rPr>
        <w:t xml:space="preserve"> </w:t>
      </w:r>
      <w:r w:rsidR="00DE549F">
        <w:rPr>
          <w:rFonts w:ascii="PT Astra Serif" w:hAnsi="PT Astra Serif" w:cs="Calibri"/>
          <w:b/>
          <w:sz w:val="24"/>
          <w:szCs w:val="24"/>
          <w:shd w:val="clear" w:color="auto" w:fill="FFFFFF"/>
        </w:rPr>
        <w:t>огородничества</w:t>
      </w:r>
      <w:r w:rsidRPr="00FA12C8">
        <w:rPr>
          <w:rFonts w:ascii="PT Astra Serif" w:hAnsi="PT Astra Serif"/>
          <w:b/>
          <w:sz w:val="24"/>
          <w:szCs w:val="24"/>
        </w:rPr>
        <w:t>, расположенного по адресу: Тульская область, Заокский</w:t>
      </w:r>
      <w:r w:rsidR="00832120">
        <w:rPr>
          <w:rFonts w:ascii="PT Astra Serif" w:hAnsi="PT Astra Serif"/>
          <w:b/>
          <w:sz w:val="24"/>
          <w:szCs w:val="24"/>
        </w:rPr>
        <w:t xml:space="preserve"> р</w:t>
      </w:r>
      <w:r w:rsidR="00DE549F">
        <w:rPr>
          <w:rFonts w:ascii="PT Astra Serif" w:hAnsi="PT Astra Serif"/>
          <w:b/>
          <w:sz w:val="24"/>
          <w:szCs w:val="24"/>
        </w:rPr>
        <w:t>айон</w:t>
      </w:r>
      <w:r w:rsidRPr="00FA12C8">
        <w:rPr>
          <w:rFonts w:ascii="PT Astra Serif" w:hAnsi="PT Astra Serif"/>
          <w:b/>
          <w:sz w:val="24"/>
          <w:szCs w:val="24"/>
        </w:rPr>
        <w:t>,</w:t>
      </w:r>
      <w:r w:rsidR="00F06B66">
        <w:rPr>
          <w:rFonts w:ascii="PT Astra Serif" w:hAnsi="PT Astra Serif"/>
          <w:b/>
          <w:sz w:val="24"/>
          <w:szCs w:val="24"/>
        </w:rPr>
        <w:t xml:space="preserve"> </w:t>
      </w:r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вблизи земельного участка с</w:t>
      </w:r>
      <w:proofErr w:type="gramStart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 xml:space="preserve"> К</w:t>
      </w:r>
      <w:proofErr w:type="gramEnd"/>
      <w:r w:rsidR="00DE549F">
        <w:rPr>
          <w:rFonts w:ascii="PT Astra Serif" w:hAnsi="PT Astra Serif" w:cs="Arial"/>
          <w:b/>
          <w:sz w:val="24"/>
          <w:szCs w:val="24"/>
          <w:lang w:eastAsia="zh-CN"/>
        </w:rPr>
        <w:t>№71:09:</w:t>
      </w:r>
      <w:r w:rsidR="00F06B66">
        <w:rPr>
          <w:rFonts w:ascii="PT Astra Serif" w:hAnsi="PT Astra Serif" w:cs="Arial"/>
          <w:b/>
          <w:sz w:val="24"/>
          <w:szCs w:val="24"/>
          <w:lang w:eastAsia="zh-CN"/>
        </w:rPr>
        <w:t>010101:153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F06B66">
        <w:rPr>
          <w:rFonts w:ascii="PT Astra Serif" w:hAnsi="PT Astra Serif" w:cs="Arial"/>
          <w:sz w:val="24"/>
          <w:szCs w:val="24"/>
        </w:rPr>
        <w:t>44900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06B66">
        <w:rPr>
          <w:rFonts w:ascii="PT Astra Serif" w:hAnsi="PT Astra Serif" w:cs="Arial"/>
          <w:sz w:val="24"/>
          <w:szCs w:val="24"/>
        </w:rPr>
        <w:t>сорок четыре тысячи девятьсот</w:t>
      </w:r>
      <w:r w:rsidRPr="00FA12C8">
        <w:rPr>
          <w:rFonts w:ascii="PT Astra Serif" w:hAnsi="PT Astra Serif" w:cs="Arial"/>
          <w:sz w:val="24"/>
          <w:szCs w:val="24"/>
        </w:rPr>
        <w:t>)</w:t>
      </w:r>
      <w:r w:rsidR="00804B8E">
        <w:rPr>
          <w:rFonts w:ascii="PT Astra Serif" w:hAnsi="PT Astra Serif" w:cs="Arial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 xml:space="preserve">рублей. Шаг аукциона 3 % - </w:t>
      </w:r>
      <w:r w:rsidR="00F06B66">
        <w:rPr>
          <w:rFonts w:ascii="PT Astra Serif" w:hAnsi="PT Astra Serif"/>
          <w:sz w:val="24"/>
          <w:szCs w:val="24"/>
        </w:rPr>
        <w:t xml:space="preserve">1347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F06B66">
        <w:rPr>
          <w:rFonts w:ascii="PT Astra Serif" w:hAnsi="PT Astra Serif" w:cs="Arial"/>
          <w:sz w:val="24"/>
          <w:szCs w:val="24"/>
        </w:rPr>
        <w:t>одна тысяча триста сорок 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06B66">
        <w:rPr>
          <w:rFonts w:ascii="PT Astra Serif" w:hAnsi="PT Astra Serif"/>
          <w:sz w:val="24"/>
          <w:szCs w:val="24"/>
        </w:rPr>
        <w:t>22450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06B66">
        <w:rPr>
          <w:rFonts w:ascii="PT Astra Serif" w:hAnsi="PT Astra Serif"/>
          <w:sz w:val="24"/>
          <w:szCs w:val="24"/>
        </w:rPr>
        <w:t>двадцать две тысячи четыреста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DE549F" w:rsidRPr="00FA12C8" w:rsidRDefault="00DE549F" w:rsidP="00DE549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Страховское Заокского района утвержденным постановлением администрации муниципального образования Заокский район от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 w:rsidR="00294E71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 района»</w:t>
      </w:r>
      <w:r w:rsidR="00EF712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="007A6B74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>входит в границы территориальной зоны «</w:t>
      </w:r>
      <w:r w:rsidR="003A565F">
        <w:rPr>
          <w:rFonts w:ascii="PT Astra Serif" w:hAnsi="PT Astra Serif"/>
          <w:color w:val="000000" w:themeColor="text1"/>
          <w:sz w:val="24"/>
          <w:szCs w:val="24"/>
        </w:rPr>
        <w:t>Ж</w:t>
      </w:r>
      <w:proofErr w:type="gramStart"/>
      <w:r w:rsidR="003A565F">
        <w:rPr>
          <w:rFonts w:ascii="PT Astra Serif" w:hAnsi="PT Astra Serif"/>
          <w:color w:val="000000" w:themeColor="text1"/>
          <w:sz w:val="24"/>
          <w:szCs w:val="24"/>
        </w:rPr>
        <w:t>1</w:t>
      </w:r>
      <w:proofErr w:type="gramEnd"/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» – </w:t>
      </w:r>
      <w:r w:rsidR="00294E71">
        <w:rPr>
          <w:rFonts w:ascii="PT Astra Serif" w:eastAsia="Calibri" w:hAnsi="PT Astra Serif"/>
          <w:sz w:val="24"/>
          <w:szCs w:val="24"/>
        </w:rPr>
        <w:t>з</w:t>
      </w:r>
      <w:r w:rsidR="00294E71" w:rsidRPr="00294E71">
        <w:rPr>
          <w:rFonts w:ascii="PT Astra Serif" w:eastAsia="Calibri" w:hAnsi="PT Astra Serif"/>
          <w:sz w:val="24"/>
          <w:szCs w:val="24"/>
        </w:rPr>
        <w:t xml:space="preserve">она </w:t>
      </w:r>
      <w:r w:rsidR="003A565F">
        <w:rPr>
          <w:rFonts w:ascii="PT Astra Serif" w:eastAsia="Calibri" w:hAnsi="PT Astra Serif"/>
          <w:sz w:val="24"/>
          <w:szCs w:val="24"/>
        </w:rPr>
        <w:t>застройки индивидуальными жилыми домами</w:t>
      </w: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</w:p>
    <w:p w:rsidR="00294E71" w:rsidRDefault="00DE549F" w:rsidP="00294E71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 соответствии с разрешенным использованием земельного участка – «ведение огородничества» предусмотрено 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DE549F" w:rsidRPr="00FA12C8" w:rsidRDefault="00DE549F" w:rsidP="00DE549F">
      <w:pPr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Сведения о наличии земельного спора о местоположении </w:t>
      </w:r>
      <w:proofErr w:type="gramStart"/>
      <w:r w:rsidRPr="00FA12C8">
        <w:rPr>
          <w:rFonts w:ascii="PT Astra Serif" w:hAnsi="PT Astra Serif"/>
          <w:sz w:val="24"/>
          <w:szCs w:val="24"/>
        </w:rPr>
        <w:t>границ земельного участка</w:t>
      </w:r>
      <w:r w:rsidR="003A565F">
        <w:rPr>
          <w:rFonts w:ascii="PT Astra Serif" w:hAnsi="PT Astra Serif"/>
          <w:sz w:val="24"/>
          <w:szCs w:val="24"/>
        </w:rPr>
        <w:t xml:space="preserve">, имеющихся обременениях </w:t>
      </w:r>
      <w:r w:rsidRPr="00FA12C8">
        <w:rPr>
          <w:rFonts w:ascii="PT Astra Serif" w:hAnsi="PT Astra Serif"/>
          <w:sz w:val="24"/>
          <w:szCs w:val="24"/>
        </w:rPr>
        <w:t xml:space="preserve"> отсутствуют</w:t>
      </w:r>
      <w:proofErr w:type="gramEnd"/>
      <w:r w:rsidRPr="00FA12C8">
        <w:rPr>
          <w:rFonts w:ascii="PT Astra Serif" w:hAnsi="PT Astra Serif"/>
          <w:sz w:val="24"/>
          <w:szCs w:val="24"/>
        </w:rPr>
        <w:t xml:space="preserve">. 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 w:rsidR="002D7C05"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 w:rsidR="002D7C05"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83970"/>
    <w:rsid w:val="000A141A"/>
    <w:rsid w:val="000B3BA0"/>
    <w:rsid w:val="000E4142"/>
    <w:rsid w:val="000F02D8"/>
    <w:rsid w:val="00120A43"/>
    <w:rsid w:val="00133787"/>
    <w:rsid w:val="00156D8A"/>
    <w:rsid w:val="001A270B"/>
    <w:rsid w:val="001A6AA7"/>
    <w:rsid w:val="001B3DF3"/>
    <w:rsid w:val="001B5EF1"/>
    <w:rsid w:val="001C0CC8"/>
    <w:rsid w:val="00212F94"/>
    <w:rsid w:val="00235F31"/>
    <w:rsid w:val="00271BD3"/>
    <w:rsid w:val="00274DEF"/>
    <w:rsid w:val="00294E71"/>
    <w:rsid w:val="002A1294"/>
    <w:rsid w:val="002D7C05"/>
    <w:rsid w:val="0030201E"/>
    <w:rsid w:val="003414E7"/>
    <w:rsid w:val="00390C1B"/>
    <w:rsid w:val="00395026"/>
    <w:rsid w:val="003A28CE"/>
    <w:rsid w:val="003A565F"/>
    <w:rsid w:val="003C298D"/>
    <w:rsid w:val="003C3CDC"/>
    <w:rsid w:val="003D301A"/>
    <w:rsid w:val="003E4058"/>
    <w:rsid w:val="003E516D"/>
    <w:rsid w:val="003F1D6D"/>
    <w:rsid w:val="00400EFB"/>
    <w:rsid w:val="00415068"/>
    <w:rsid w:val="004260A2"/>
    <w:rsid w:val="00471E3A"/>
    <w:rsid w:val="004A6AFD"/>
    <w:rsid w:val="004B1F76"/>
    <w:rsid w:val="004D2C9C"/>
    <w:rsid w:val="00517BCE"/>
    <w:rsid w:val="005377BE"/>
    <w:rsid w:val="005708D5"/>
    <w:rsid w:val="00573938"/>
    <w:rsid w:val="005944A0"/>
    <w:rsid w:val="005F3237"/>
    <w:rsid w:val="00630531"/>
    <w:rsid w:val="0063442E"/>
    <w:rsid w:val="0064633D"/>
    <w:rsid w:val="00651741"/>
    <w:rsid w:val="00653CE6"/>
    <w:rsid w:val="00690AAE"/>
    <w:rsid w:val="006E2B18"/>
    <w:rsid w:val="0070567B"/>
    <w:rsid w:val="00712D82"/>
    <w:rsid w:val="007436EC"/>
    <w:rsid w:val="007643BF"/>
    <w:rsid w:val="00766FE0"/>
    <w:rsid w:val="00777E57"/>
    <w:rsid w:val="007873E4"/>
    <w:rsid w:val="00790754"/>
    <w:rsid w:val="00794095"/>
    <w:rsid w:val="007A6B74"/>
    <w:rsid w:val="007C4850"/>
    <w:rsid w:val="007E4F10"/>
    <w:rsid w:val="007E5A74"/>
    <w:rsid w:val="00804B8E"/>
    <w:rsid w:val="00817DCA"/>
    <w:rsid w:val="0082787E"/>
    <w:rsid w:val="00832120"/>
    <w:rsid w:val="008453F6"/>
    <w:rsid w:val="0085550C"/>
    <w:rsid w:val="008D045A"/>
    <w:rsid w:val="008D21E5"/>
    <w:rsid w:val="008E4C3D"/>
    <w:rsid w:val="0091219C"/>
    <w:rsid w:val="00916EEF"/>
    <w:rsid w:val="0094724D"/>
    <w:rsid w:val="00976FCD"/>
    <w:rsid w:val="00997CD5"/>
    <w:rsid w:val="009B14D0"/>
    <w:rsid w:val="00A91AF6"/>
    <w:rsid w:val="00A93F99"/>
    <w:rsid w:val="00A9746B"/>
    <w:rsid w:val="00AA7835"/>
    <w:rsid w:val="00AD1FDC"/>
    <w:rsid w:val="00AE0463"/>
    <w:rsid w:val="00B535B2"/>
    <w:rsid w:val="00B625F9"/>
    <w:rsid w:val="00BA1A62"/>
    <w:rsid w:val="00BA27A9"/>
    <w:rsid w:val="00BC5C0D"/>
    <w:rsid w:val="00BF12F7"/>
    <w:rsid w:val="00C0082E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D06BF7"/>
    <w:rsid w:val="00D10C35"/>
    <w:rsid w:val="00D21B8E"/>
    <w:rsid w:val="00D4579E"/>
    <w:rsid w:val="00D540E3"/>
    <w:rsid w:val="00D76031"/>
    <w:rsid w:val="00D836AA"/>
    <w:rsid w:val="00DB4DE2"/>
    <w:rsid w:val="00DD523B"/>
    <w:rsid w:val="00DE549F"/>
    <w:rsid w:val="00DF5C12"/>
    <w:rsid w:val="00E23FE4"/>
    <w:rsid w:val="00E308E3"/>
    <w:rsid w:val="00E4319A"/>
    <w:rsid w:val="00E43C1F"/>
    <w:rsid w:val="00EB7231"/>
    <w:rsid w:val="00EE0605"/>
    <w:rsid w:val="00EE0CBE"/>
    <w:rsid w:val="00EF7124"/>
    <w:rsid w:val="00EF79E7"/>
    <w:rsid w:val="00F06B66"/>
    <w:rsid w:val="00F71BAA"/>
    <w:rsid w:val="00F812F0"/>
    <w:rsid w:val="00F820BF"/>
    <w:rsid w:val="00FA12C8"/>
    <w:rsid w:val="00FC18BF"/>
    <w:rsid w:val="00FE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D221-36E3-4348-9965-297F84044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7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111</cp:revision>
  <dcterms:created xsi:type="dcterms:W3CDTF">2023-05-19T11:07:00Z</dcterms:created>
  <dcterms:modified xsi:type="dcterms:W3CDTF">2024-01-19T12:35:00Z</dcterms:modified>
</cp:coreProperties>
</file>